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0EA2C" w14:textId="77777777" w:rsidR="00AD2856" w:rsidRDefault="007D6211">
      <w:pPr>
        <w:pStyle w:val="Standard"/>
        <w:ind w:left="426"/>
        <w:jc w:val="center"/>
        <w:rPr>
          <w:b/>
          <w:color w:val="000000"/>
          <w:lang w:eastAsia="en-US"/>
        </w:rPr>
      </w:pPr>
      <w:r>
        <w:rPr>
          <w:b/>
          <w:color w:val="000000"/>
          <w:lang w:eastAsia="en-US"/>
        </w:rPr>
        <w:t xml:space="preserve">DĖL PANEVĖŽIO KRAŠTOTYROS MUZIEJAUS </w:t>
      </w:r>
      <w:r w:rsidRPr="008E2334">
        <w:rPr>
          <w:b/>
          <w:bCs/>
          <w:lang w:eastAsia="en-US"/>
        </w:rPr>
        <w:t>(KODAS 190431446)</w:t>
      </w:r>
    </w:p>
    <w:p w14:paraId="2554558E" w14:textId="32879784" w:rsidR="00AD2856" w:rsidRDefault="007D6211">
      <w:pPr>
        <w:pStyle w:val="Standard"/>
        <w:jc w:val="center"/>
        <w:rPr>
          <w:b/>
          <w:color w:val="000000"/>
          <w:lang w:eastAsia="en-US"/>
        </w:rPr>
      </w:pPr>
      <w:r>
        <w:rPr>
          <w:b/>
          <w:color w:val="000000"/>
          <w:lang w:eastAsia="en-US"/>
        </w:rPr>
        <w:t xml:space="preserve">TEIKIAMŲ MOKAMŲ PASLAUGŲ KAINORAŠČIO </w:t>
      </w:r>
      <w:r w:rsidR="00E52BBC">
        <w:rPr>
          <w:b/>
          <w:color w:val="000000"/>
          <w:lang w:eastAsia="en-US"/>
        </w:rPr>
        <w:t>1</w:t>
      </w:r>
      <w:r w:rsidR="00773984">
        <w:rPr>
          <w:b/>
          <w:color w:val="000000"/>
          <w:lang w:eastAsia="en-US"/>
        </w:rPr>
        <w:t xml:space="preserve"> SKYRIAUS </w:t>
      </w:r>
      <w:r w:rsidR="008101BF">
        <w:rPr>
          <w:b/>
          <w:color w:val="000000"/>
          <w:lang w:eastAsia="en-US"/>
        </w:rPr>
        <w:t>„</w:t>
      </w:r>
      <w:r w:rsidR="008101BF">
        <w:rPr>
          <w:b/>
          <w:bCs/>
          <w:color w:val="000000"/>
          <w:szCs w:val="24"/>
          <w:lang w:eastAsia="en-US"/>
        </w:rPr>
        <w:t>EKSPOZICIJŲ LANKYMO BILIETŲ KAINOS“</w:t>
      </w:r>
      <w:r w:rsidR="008101BF">
        <w:rPr>
          <w:b/>
          <w:lang w:eastAsia="en-US"/>
        </w:rPr>
        <w:t xml:space="preserve"> PAPILDYMO</w:t>
      </w:r>
      <w:r>
        <w:rPr>
          <w:b/>
          <w:lang w:eastAsia="en-US"/>
        </w:rPr>
        <w:t xml:space="preserve"> </w:t>
      </w:r>
      <w:r w:rsidR="00E52BBC">
        <w:rPr>
          <w:b/>
          <w:lang w:eastAsia="en-US"/>
        </w:rPr>
        <w:t>1.</w:t>
      </w:r>
      <w:r w:rsidR="008E2334">
        <w:rPr>
          <w:b/>
          <w:lang w:eastAsia="en-US"/>
        </w:rPr>
        <w:t>4</w:t>
      </w:r>
      <w:r w:rsidR="00E52BBC">
        <w:rPr>
          <w:b/>
          <w:lang w:eastAsia="en-US"/>
        </w:rPr>
        <w:t xml:space="preserve"> </w:t>
      </w:r>
      <w:r w:rsidR="008101BF">
        <w:rPr>
          <w:b/>
          <w:color w:val="000000"/>
          <w:lang w:eastAsia="en-US"/>
        </w:rPr>
        <w:t>PAPUNČIU</w:t>
      </w:r>
    </w:p>
    <w:p w14:paraId="2F62EB93" w14:textId="77777777" w:rsidR="00AD2856" w:rsidRDefault="00AD2856">
      <w:pPr>
        <w:pStyle w:val="Standard"/>
        <w:jc w:val="center"/>
        <w:rPr>
          <w:b/>
          <w:color w:val="000000"/>
          <w:lang w:eastAsia="en-US"/>
        </w:rPr>
      </w:pPr>
    </w:p>
    <w:tbl>
      <w:tblPr>
        <w:tblpPr w:leftFromText="180" w:rightFromText="180" w:vertAnchor="text" w:horzAnchor="margin" w:tblpXSpec="center" w:tblpY="102"/>
        <w:tblW w:w="16013" w:type="dxa"/>
        <w:jc w:val="center"/>
        <w:tblLayout w:type="fixed"/>
        <w:tblLook w:val="0000" w:firstRow="0" w:lastRow="0" w:firstColumn="0" w:lastColumn="0" w:noHBand="0" w:noVBand="0"/>
      </w:tblPr>
      <w:tblGrid>
        <w:gridCol w:w="705"/>
        <w:gridCol w:w="3232"/>
        <w:gridCol w:w="851"/>
        <w:gridCol w:w="1417"/>
        <w:gridCol w:w="1276"/>
        <w:gridCol w:w="1872"/>
        <w:gridCol w:w="2980"/>
        <w:gridCol w:w="3680"/>
      </w:tblGrid>
      <w:tr w:rsidR="00AD2856" w14:paraId="0AB7D94E" w14:textId="77777777" w:rsidTr="00754DEC">
        <w:trPr>
          <w:cantSplit/>
          <w:trHeight w:val="604"/>
          <w:jc w:val="center"/>
        </w:trPr>
        <w:tc>
          <w:tcPr>
            <w:tcW w:w="705" w:type="dxa"/>
            <w:tcBorders>
              <w:top w:val="single" w:sz="4" w:space="0" w:color="00000A"/>
              <w:left w:val="single" w:sz="4" w:space="0" w:color="00000A"/>
              <w:bottom w:val="single" w:sz="4" w:space="0" w:color="00000A"/>
              <w:right w:val="single" w:sz="4" w:space="0" w:color="00000A"/>
            </w:tcBorders>
            <w:vAlign w:val="center"/>
          </w:tcPr>
          <w:p w14:paraId="00F428B8" w14:textId="77777777" w:rsidR="00AD2856" w:rsidRDefault="007D6211">
            <w:pPr>
              <w:pStyle w:val="Standard"/>
              <w:widowControl w:val="0"/>
              <w:rPr>
                <w:szCs w:val="24"/>
                <w:lang w:eastAsia="en-US"/>
              </w:rPr>
            </w:pPr>
            <w:r>
              <w:rPr>
                <w:szCs w:val="24"/>
                <w:lang w:eastAsia="en-US"/>
              </w:rPr>
              <w:t>Eil.</w:t>
            </w:r>
          </w:p>
          <w:p w14:paraId="31CAC4CE" w14:textId="77777777" w:rsidR="00AD2856" w:rsidRDefault="007D6211">
            <w:pPr>
              <w:pStyle w:val="Standard"/>
              <w:widowControl w:val="0"/>
              <w:rPr>
                <w:szCs w:val="24"/>
                <w:lang w:eastAsia="en-US"/>
              </w:rPr>
            </w:pPr>
            <w:r>
              <w:rPr>
                <w:szCs w:val="24"/>
                <w:lang w:eastAsia="en-US"/>
              </w:rPr>
              <w:t>Nr.</w:t>
            </w:r>
          </w:p>
        </w:tc>
        <w:tc>
          <w:tcPr>
            <w:tcW w:w="3232" w:type="dxa"/>
            <w:tcBorders>
              <w:top w:val="single" w:sz="4" w:space="0" w:color="00000A"/>
              <w:left w:val="single" w:sz="4" w:space="0" w:color="00000A"/>
              <w:bottom w:val="single" w:sz="4" w:space="0" w:color="00000A"/>
              <w:right w:val="single" w:sz="4" w:space="0" w:color="00000A"/>
            </w:tcBorders>
            <w:vAlign w:val="center"/>
          </w:tcPr>
          <w:p w14:paraId="4AECE1E3" w14:textId="77777777" w:rsidR="00AD2856" w:rsidRDefault="007D6211">
            <w:pPr>
              <w:pStyle w:val="Standard"/>
              <w:widowControl w:val="0"/>
              <w:rPr>
                <w:color w:val="000000"/>
                <w:szCs w:val="24"/>
                <w:lang w:eastAsia="en-US"/>
              </w:rPr>
            </w:pPr>
            <w:r>
              <w:rPr>
                <w:color w:val="000000"/>
                <w:szCs w:val="24"/>
                <w:lang w:eastAsia="en-US"/>
              </w:rPr>
              <w:t>Paslaugų pavadinimas</w:t>
            </w:r>
          </w:p>
        </w:tc>
        <w:tc>
          <w:tcPr>
            <w:tcW w:w="851" w:type="dxa"/>
            <w:tcBorders>
              <w:top w:val="single" w:sz="4" w:space="0" w:color="00000A"/>
              <w:left w:val="single" w:sz="4" w:space="0" w:color="00000A"/>
              <w:bottom w:val="single" w:sz="4" w:space="0" w:color="00000A"/>
              <w:right w:val="single" w:sz="4" w:space="0" w:color="00000A"/>
            </w:tcBorders>
            <w:vAlign w:val="center"/>
          </w:tcPr>
          <w:p w14:paraId="7CA298A4" w14:textId="77777777" w:rsidR="00AD2856" w:rsidRDefault="007D6211">
            <w:pPr>
              <w:pStyle w:val="Standard"/>
              <w:widowControl w:val="0"/>
              <w:rPr>
                <w:color w:val="000000"/>
                <w:szCs w:val="24"/>
                <w:lang w:eastAsia="en-US"/>
              </w:rPr>
            </w:pPr>
            <w:r>
              <w:rPr>
                <w:color w:val="000000"/>
                <w:szCs w:val="24"/>
                <w:lang w:eastAsia="en-US"/>
              </w:rPr>
              <w:t>Mato 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04C6C591" w14:textId="77777777" w:rsidR="00AD2856" w:rsidRDefault="007D6211">
            <w:pPr>
              <w:pStyle w:val="Standard"/>
              <w:widowControl w:val="0"/>
              <w:rPr>
                <w:color w:val="000000"/>
                <w:szCs w:val="24"/>
                <w:lang w:eastAsia="en-US"/>
              </w:rPr>
            </w:pPr>
            <w:r>
              <w:rPr>
                <w:color w:val="000000"/>
                <w:szCs w:val="24"/>
                <w:lang w:eastAsia="en-US"/>
              </w:rPr>
              <w:t>Senas tarifas</w:t>
            </w:r>
          </w:p>
          <w:p w14:paraId="5895F410" w14:textId="77777777" w:rsidR="00AD2856" w:rsidRDefault="007D6211">
            <w:pPr>
              <w:pStyle w:val="Standard"/>
              <w:widowControl w:val="0"/>
              <w:rPr>
                <w:color w:val="000000"/>
                <w:szCs w:val="24"/>
                <w:lang w:eastAsia="en-US"/>
              </w:rPr>
            </w:pPr>
            <w:r>
              <w:rPr>
                <w:color w:val="000000"/>
                <w:szCs w:val="24"/>
                <w:lang w:eastAsia="en-US"/>
              </w:rPr>
              <w:t>(Eur)</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BC0DFFC" w14:textId="77777777" w:rsidR="00AD2856" w:rsidRDefault="007D6211">
            <w:pPr>
              <w:pStyle w:val="Standard"/>
              <w:widowControl w:val="0"/>
              <w:rPr>
                <w:color w:val="000000"/>
                <w:szCs w:val="24"/>
                <w:lang w:eastAsia="en-US"/>
              </w:rPr>
            </w:pPr>
            <w:r>
              <w:rPr>
                <w:color w:val="000000"/>
                <w:szCs w:val="24"/>
                <w:lang w:eastAsia="en-US"/>
              </w:rPr>
              <w:t xml:space="preserve">Naujas tarifas </w:t>
            </w:r>
          </w:p>
          <w:p w14:paraId="015D75AE" w14:textId="77777777" w:rsidR="00AD2856" w:rsidRDefault="007D6211">
            <w:pPr>
              <w:pStyle w:val="Standard"/>
              <w:widowControl w:val="0"/>
              <w:rPr>
                <w:color w:val="000000"/>
                <w:szCs w:val="24"/>
                <w:lang w:eastAsia="en-US"/>
              </w:rPr>
            </w:pPr>
            <w:r>
              <w:rPr>
                <w:color w:val="000000"/>
                <w:szCs w:val="24"/>
                <w:lang w:eastAsia="en-US"/>
              </w:rPr>
              <w:t>(Eur)</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9785159" w14:textId="77777777" w:rsidR="00AD2856" w:rsidRDefault="007D6211">
            <w:pPr>
              <w:pStyle w:val="Standard"/>
              <w:widowControl w:val="0"/>
              <w:rPr>
                <w:color w:val="000000"/>
                <w:szCs w:val="24"/>
                <w:lang w:eastAsia="en-US"/>
              </w:rPr>
            </w:pPr>
            <w:r>
              <w:rPr>
                <w:color w:val="000000"/>
                <w:szCs w:val="24"/>
                <w:lang w:eastAsia="en-US"/>
              </w:rPr>
              <w:t xml:space="preserve">Pastabos </w:t>
            </w:r>
          </w:p>
          <w:p w14:paraId="17D5CBEE" w14:textId="77777777" w:rsidR="00AD2856" w:rsidRDefault="007D6211">
            <w:pPr>
              <w:pStyle w:val="Standard"/>
              <w:widowControl w:val="0"/>
              <w:rPr>
                <w:color w:val="000000"/>
                <w:szCs w:val="24"/>
                <w:lang w:eastAsia="en-US"/>
              </w:rPr>
            </w:pPr>
            <w:r>
              <w:rPr>
                <w:color w:val="000000"/>
                <w:szCs w:val="24"/>
                <w:lang w:eastAsia="en-US"/>
              </w:rPr>
              <w:t>(naujas tarifas, naikinamas tarifas, padidėjęs tarifas, sumažėjęs tarifas, nepakitęs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FFD2D91" w14:textId="77777777" w:rsidR="00AD2856" w:rsidRDefault="007D6211">
            <w:pPr>
              <w:pStyle w:val="Standard"/>
              <w:widowControl w:val="0"/>
              <w:rPr>
                <w:color w:val="000000"/>
                <w:szCs w:val="24"/>
                <w:lang w:eastAsia="en-US"/>
              </w:rPr>
            </w:pPr>
            <w:r>
              <w:rPr>
                <w:color w:val="000000"/>
                <w:szCs w:val="24"/>
                <w:lang w:eastAsia="en-US"/>
              </w:rPr>
              <w:t>Pagrįsti prašomo tarifo (pakėlimo/sumažinimo/naujos paslaugos) dydį</w:t>
            </w:r>
          </w:p>
          <w:p w14:paraId="2ECA1826" w14:textId="77777777" w:rsidR="00AD2856" w:rsidRDefault="007D6211">
            <w:pPr>
              <w:pStyle w:val="Standard"/>
              <w:widowControl w:val="0"/>
              <w:rPr>
                <w:color w:val="000000"/>
                <w:szCs w:val="24"/>
                <w:lang w:eastAsia="en-US"/>
              </w:rPr>
            </w:pPr>
            <w:r>
              <w:rPr>
                <w:color w:val="000000"/>
                <w:szCs w:val="24"/>
                <w:lang w:eastAsia="en-US"/>
              </w:rPr>
              <w:t>(Kokios prekių/paslaugų išlaidų grupės sudaro bilieto/paslaugų kainą? Kokios išlaidos padidėjo ir/ar atsirado naujos? Kiti veiksniai turėję įtakos prašomo tarifo dydžiui?)</w:t>
            </w:r>
          </w:p>
        </w:tc>
        <w:tc>
          <w:tcPr>
            <w:tcW w:w="36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A0D490B" w14:textId="77777777" w:rsidR="00AD2856" w:rsidRDefault="007D6211">
            <w:pPr>
              <w:pStyle w:val="Standard"/>
              <w:widowControl w:val="0"/>
              <w:rPr>
                <w:color w:val="000000"/>
                <w:szCs w:val="24"/>
                <w:lang w:eastAsia="en-US"/>
              </w:rPr>
            </w:pPr>
            <w:r>
              <w:rPr>
                <w:color w:val="000000"/>
                <w:szCs w:val="24"/>
                <w:lang w:eastAsia="en-US"/>
              </w:rPr>
              <w:t>Kainų palyginimas su atitinkamas paslaugas teikiančių įstaigų (Panevėžio ir/ar Lietuvos) paslaugų kainomis</w:t>
            </w:r>
          </w:p>
        </w:tc>
      </w:tr>
      <w:tr w:rsidR="00AD2856" w14:paraId="49FF0128" w14:textId="77777777" w:rsidTr="00754DEC">
        <w:trPr>
          <w:cantSplit/>
          <w:jc w:val="center"/>
        </w:trPr>
        <w:tc>
          <w:tcPr>
            <w:tcW w:w="705" w:type="dxa"/>
            <w:tcBorders>
              <w:top w:val="single" w:sz="4" w:space="0" w:color="00000A"/>
              <w:left w:val="single" w:sz="4" w:space="0" w:color="00000A"/>
              <w:bottom w:val="single" w:sz="4" w:space="0" w:color="00000A"/>
              <w:right w:val="single" w:sz="4" w:space="0" w:color="00000A"/>
            </w:tcBorders>
          </w:tcPr>
          <w:p w14:paraId="4A18428D" w14:textId="77777777" w:rsidR="00AD2856" w:rsidRDefault="007D6211">
            <w:pPr>
              <w:pStyle w:val="Standard"/>
              <w:widowControl w:val="0"/>
              <w:jc w:val="center"/>
              <w:rPr>
                <w:szCs w:val="24"/>
                <w:lang w:eastAsia="en-US"/>
              </w:rPr>
            </w:pPr>
            <w:r>
              <w:rPr>
                <w:szCs w:val="24"/>
                <w:lang w:eastAsia="en-US"/>
              </w:rPr>
              <w:t>1</w:t>
            </w:r>
          </w:p>
        </w:tc>
        <w:tc>
          <w:tcPr>
            <w:tcW w:w="3232" w:type="dxa"/>
            <w:tcBorders>
              <w:top w:val="single" w:sz="4" w:space="0" w:color="00000A"/>
              <w:left w:val="single" w:sz="4" w:space="0" w:color="00000A"/>
              <w:bottom w:val="single" w:sz="4" w:space="0" w:color="00000A"/>
              <w:right w:val="single" w:sz="4" w:space="0" w:color="00000A"/>
            </w:tcBorders>
          </w:tcPr>
          <w:p w14:paraId="1FBE046D" w14:textId="77777777" w:rsidR="00AD2856" w:rsidRDefault="007D6211">
            <w:pPr>
              <w:pStyle w:val="Standard"/>
              <w:widowControl w:val="0"/>
              <w:jc w:val="center"/>
              <w:rPr>
                <w:color w:val="000000"/>
                <w:szCs w:val="24"/>
                <w:lang w:eastAsia="en-US"/>
              </w:rPr>
            </w:pPr>
            <w:r>
              <w:rPr>
                <w:color w:val="000000"/>
                <w:szCs w:val="24"/>
                <w:lang w:eastAsia="en-US"/>
              </w:rPr>
              <w:t>2</w:t>
            </w:r>
          </w:p>
        </w:tc>
        <w:tc>
          <w:tcPr>
            <w:tcW w:w="851" w:type="dxa"/>
            <w:tcBorders>
              <w:top w:val="single" w:sz="4" w:space="0" w:color="00000A"/>
              <w:left w:val="single" w:sz="4" w:space="0" w:color="00000A"/>
              <w:bottom w:val="single" w:sz="4" w:space="0" w:color="00000A"/>
              <w:right w:val="single" w:sz="4" w:space="0" w:color="00000A"/>
            </w:tcBorders>
          </w:tcPr>
          <w:p w14:paraId="57BC7DF9" w14:textId="77777777" w:rsidR="00AD2856" w:rsidRDefault="007D6211">
            <w:pPr>
              <w:pStyle w:val="Standard"/>
              <w:widowControl w:val="0"/>
              <w:jc w:val="center"/>
              <w:rPr>
                <w:color w:val="000000"/>
                <w:szCs w:val="24"/>
                <w:lang w:eastAsia="en-US"/>
              </w:rPr>
            </w:pPr>
            <w:r>
              <w:rPr>
                <w:color w:val="000000"/>
                <w:szCs w:val="24"/>
                <w:lang w:eastAsia="en-US"/>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75399205" w14:textId="77777777" w:rsidR="00AD2856" w:rsidRDefault="007D6211">
            <w:pPr>
              <w:pStyle w:val="Standard"/>
              <w:widowControl w:val="0"/>
              <w:jc w:val="center"/>
              <w:rPr>
                <w:color w:val="000000"/>
                <w:szCs w:val="24"/>
                <w:lang w:eastAsia="en-US"/>
              </w:rPr>
            </w:pPr>
            <w:r>
              <w:rPr>
                <w:color w:val="000000"/>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CA3BE7B" w14:textId="77777777" w:rsidR="00AD2856" w:rsidRDefault="007D6211">
            <w:pPr>
              <w:pStyle w:val="Standard"/>
              <w:widowControl w:val="0"/>
              <w:jc w:val="center"/>
              <w:rPr>
                <w:color w:val="000000"/>
                <w:szCs w:val="24"/>
                <w:lang w:eastAsia="en-US"/>
              </w:rPr>
            </w:pPr>
            <w:r>
              <w:rPr>
                <w:color w:val="000000"/>
                <w:szCs w:val="24"/>
                <w:lang w:eastAsia="en-US"/>
              </w:rPr>
              <w:t>5</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0CF477A" w14:textId="77777777" w:rsidR="00AD2856" w:rsidRDefault="007D6211">
            <w:pPr>
              <w:pStyle w:val="Standard"/>
              <w:widowControl w:val="0"/>
              <w:jc w:val="center"/>
              <w:rPr>
                <w:color w:val="000000"/>
                <w:szCs w:val="24"/>
                <w:lang w:eastAsia="en-US"/>
              </w:rPr>
            </w:pPr>
            <w:r>
              <w:rPr>
                <w:color w:val="000000"/>
                <w:szCs w:val="24"/>
                <w:lang w:eastAsia="en-US"/>
              </w:rPr>
              <w:t>6</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AF60882" w14:textId="77777777" w:rsidR="00AD2856" w:rsidRDefault="007D6211">
            <w:pPr>
              <w:pStyle w:val="Standard"/>
              <w:widowControl w:val="0"/>
              <w:jc w:val="center"/>
              <w:rPr>
                <w:color w:val="000000"/>
                <w:szCs w:val="24"/>
                <w:lang w:eastAsia="en-US"/>
              </w:rPr>
            </w:pPr>
            <w:r>
              <w:rPr>
                <w:color w:val="000000"/>
                <w:szCs w:val="24"/>
                <w:lang w:eastAsia="en-US"/>
              </w:rPr>
              <w:t>7</w:t>
            </w:r>
          </w:p>
        </w:tc>
        <w:tc>
          <w:tcPr>
            <w:tcW w:w="36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BB1405D" w14:textId="77777777" w:rsidR="00AD2856" w:rsidRDefault="007D6211">
            <w:pPr>
              <w:pStyle w:val="Standard"/>
              <w:widowControl w:val="0"/>
              <w:jc w:val="center"/>
              <w:rPr>
                <w:color w:val="000000"/>
                <w:szCs w:val="24"/>
                <w:lang w:eastAsia="en-US"/>
              </w:rPr>
            </w:pPr>
            <w:r>
              <w:rPr>
                <w:color w:val="000000"/>
                <w:szCs w:val="24"/>
                <w:lang w:eastAsia="en-US"/>
              </w:rPr>
              <w:t>8</w:t>
            </w:r>
          </w:p>
        </w:tc>
      </w:tr>
      <w:tr w:rsidR="00AD2856" w14:paraId="01DE04D1" w14:textId="77777777" w:rsidTr="00754DEC">
        <w:trPr>
          <w:cantSplit/>
          <w:jc w:val="center"/>
        </w:trPr>
        <w:tc>
          <w:tcPr>
            <w:tcW w:w="705" w:type="dxa"/>
            <w:tcBorders>
              <w:top w:val="single" w:sz="4" w:space="0" w:color="00000A"/>
              <w:left w:val="single" w:sz="4" w:space="0" w:color="00000A"/>
              <w:bottom w:val="single" w:sz="4" w:space="0" w:color="00000A"/>
              <w:right w:val="single" w:sz="4" w:space="0" w:color="00000A"/>
            </w:tcBorders>
          </w:tcPr>
          <w:p w14:paraId="56DC3F69" w14:textId="77777777" w:rsidR="00AD2856" w:rsidRDefault="007D6211">
            <w:pPr>
              <w:pStyle w:val="Standard"/>
              <w:widowControl w:val="0"/>
              <w:jc w:val="center"/>
              <w:rPr>
                <w:szCs w:val="24"/>
                <w:lang w:eastAsia="en-US"/>
              </w:rPr>
            </w:pPr>
            <w:r>
              <w:rPr>
                <w:szCs w:val="24"/>
                <w:lang w:eastAsia="en-US"/>
              </w:rPr>
              <w:t>1.</w:t>
            </w:r>
          </w:p>
        </w:tc>
        <w:tc>
          <w:tcPr>
            <w:tcW w:w="15308" w:type="dxa"/>
            <w:gridSpan w:val="7"/>
            <w:tcBorders>
              <w:top w:val="single" w:sz="4" w:space="0" w:color="00000A"/>
              <w:left w:val="single" w:sz="4" w:space="0" w:color="00000A"/>
              <w:bottom w:val="single" w:sz="4" w:space="0" w:color="00000A"/>
              <w:right w:val="single" w:sz="4" w:space="0" w:color="00000A"/>
            </w:tcBorders>
          </w:tcPr>
          <w:p w14:paraId="5A797DDA" w14:textId="77777777" w:rsidR="00AD2856" w:rsidRDefault="007D6211">
            <w:pPr>
              <w:pStyle w:val="Standard"/>
              <w:widowControl w:val="0"/>
              <w:rPr>
                <w:b/>
                <w:bCs/>
                <w:color w:val="000000"/>
                <w:szCs w:val="24"/>
                <w:lang w:eastAsia="en-US"/>
              </w:rPr>
            </w:pPr>
            <w:r>
              <w:rPr>
                <w:b/>
                <w:bCs/>
                <w:color w:val="000000"/>
                <w:szCs w:val="24"/>
                <w:lang w:eastAsia="en-US"/>
              </w:rPr>
              <w:t>EKSPOZICIJŲ LANKYMO BILIETŲ KAINOS</w:t>
            </w:r>
          </w:p>
        </w:tc>
      </w:tr>
      <w:tr w:rsidR="00EB7ABF" w14:paraId="51257737" w14:textId="77777777" w:rsidTr="00754DEC">
        <w:trPr>
          <w:cantSplit/>
          <w:jc w:val="center"/>
        </w:trPr>
        <w:tc>
          <w:tcPr>
            <w:tcW w:w="705" w:type="dxa"/>
            <w:tcBorders>
              <w:top w:val="single" w:sz="4" w:space="0" w:color="00000A"/>
              <w:left w:val="single" w:sz="4" w:space="0" w:color="00000A"/>
              <w:bottom w:val="single" w:sz="4" w:space="0" w:color="00000A"/>
              <w:right w:val="single" w:sz="4" w:space="0" w:color="00000A"/>
            </w:tcBorders>
          </w:tcPr>
          <w:p w14:paraId="3D6B79A0" w14:textId="374BA59F" w:rsidR="00EB7ABF" w:rsidRDefault="00EB7ABF" w:rsidP="00EB7ABF">
            <w:pPr>
              <w:spacing w:line="252" w:lineRule="auto"/>
              <w:jc w:val="center"/>
              <w:textAlignment w:val="auto"/>
              <w:rPr>
                <w:rFonts w:eastAsia="Times New Roman"/>
                <w:sz w:val="24"/>
                <w:szCs w:val="24"/>
              </w:rPr>
            </w:pPr>
            <w:r>
              <w:rPr>
                <w:rFonts w:eastAsia="Times New Roman"/>
                <w:sz w:val="24"/>
                <w:szCs w:val="24"/>
              </w:rPr>
              <w:t>1.1.</w:t>
            </w:r>
          </w:p>
        </w:tc>
        <w:tc>
          <w:tcPr>
            <w:tcW w:w="3232" w:type="dxa"/>
            <w:tcBorders>
              <w:top w:val="single" w:sz="4" w:space="0" w:color="00000A"/>
              <w:left w:val="single" w:sz="4" w:space="0" w:color="00000A"/>
              <w:bottom w:val="single" w:sz="4" w:space="0" w:color="00000A"/>
              <w:right w:val="single" w:sz="4" w:space="0" w:color="00000A"/>
            </w:tcBorders>
          </w:tcPr>
          <w:p w14:paraId="5F25D5B4" w14:textId="26997618" w:rsidR="00EB7ABF" w:rsidRPr="003B68F3" w:rsidRDefault="00EB7ABF" w:rsidP="00EB7ABF">
            <w:pPr>
              <w:rPr>
                <w:color w:val="000009"/>
                <w:sz w:val="24"/>
              </w:rPr>
            </w:pPr>
            <w:r>
              <w:rPr>
                <w:color w:val="000009"/>
                <w:sz w:val="24"/>
              </w:rPr>
              <w:t>Ekspozicijų</w:t>
            </w:r>
            <w:r>
              <w:rPr>
                <w:color w:val="000009"/>
                <w:spacing w:val="-7"/>
                <w:sz w:val="24"/>
              </w:rPr>
              <w:t xml:space="preserve"> </w:t>
            </w:r>
            <w:r>
              <w:rPr>
                <w:color w:val="000009"/>
                <w:spacing w:val="-2"/>
                <w:sz w:val="24"/>
              </w:rPr>
              <w:t>lankymas:</w:t>
            </w:r>
            <w:r>
              <w:rPr>
                <w:color w:val="000009"/>
                <w:sz w:val="24"/>
              </w:rPr>
              <w:t xml:space="preserve"> </w:t>
            </w:r>
          </w:p>
        </w:tc>
        <w:tc>
          <w:tcPr>
            <w:tcW w:w="851" w:type="dxa"/>
            <w:tcBorders>
              <w:top w:val="single" w:sz="4" w:space="0" w:color="00000A"/>
              <w:left w:val="single" w:sz="4" w:space="0" w:color="00000A"/>
              <w:bottom w:val="single" w:sz="4" w:space="0" w:color="00000A"/>
              <w:right w:val="single" w:sz="4" w:space="0" w:color="00000A"/>
            </w:tcBorders>
          </w:tcPr>
          <w:p w14:paraId="49843E6B" w14:textId="77777777" w:rsidR="00EB7ABF" w:rsidRDefault="00EB7ABF" w:rsidP="00EB7ABF">
            <w:pPr>
              <w:jc w:val="center"/>
              <w:textAlignment w:val="auto"/>
              <w:rPr>
                <w:rFonts w:eastAsia="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715B7B84" w14:textId="77777777" w:rsidR="00EB7ABF" w:rsidRDefault="00EB7ABF"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D9E5F54" w14:textId="77777777" w:rsidR="00EB7ABF" w:rsidRDefault="00EB7ABF"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FBBF468" w14:textId="5F547FF1" w:rsidR="00EB7ABF" w:rsidRDefault="00EB7ABF" w:rsidP="00EB7ABF">
            <w:pPr>
              <w:pStyle w:val="Standard"/>
              <w:widowControl w:val="0"/>
              <w:rPr>
                <w:color w:val="000000"/>
                <w:szCs w:val="24"/>
              </w:rPr>
            </w:pP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89BF9EC" w14:textId="77777777" w:rsidR="00EB7ABF" w:rsidRDefault="00EB7ABF"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62CF98CA" w14:textId="77777777" w:rsidR="00EB7ABF" w:rsidRPr="001B0E15" w:rsidRDefault="00EB7ABF" w:rsidP="00EB7ABF">
            <w:pPr>
              <w:pStyle w:val="Standard"/>
              <w:widowControl w:val="0"/>
              <w:rPr>
                <w:szCs w:val="24"/>
                <w:lang w:val="pt-PT" w:eastAsia="en-US"/>
              </w:rPr>
            </w:pPr>
          </w:p>
        </w:tc>
      </w:tr>
      <w:tr w:rsidR="003B68F3" w14:paraId="4CF664E4" w14:textId="77777777" w:rsidTr="005C2A3D">
        <w:trPr>
          <w:cantSplit/>
          <w:jc w:val="center"/>
        </w:trPr>
        <w:tc>
          <w:tcPr>
            <w:tcW w:w="705" w:type="dxa"/>
            <w:vMerge w:val="restart"/>
            <w:tcBorders>
              <w:top w:val="single" w:sz="4" w:space="0" w:color="00000A"/>
              <w:left w:val="single" w:sz="4" w:space="0" w:color="00000A"/>
              <w:right w:val="single" w:sz="4" w:space="0" w:color="00000A"/>
            </w:tcBorders>
          </w:tcPr>
          <w:p w14:paraId="45B78C53" w14:textId="77777777" w:rsidR="003B68F3" w:rsidRDefault="003B68F3"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2D8F2D1C" w14:textId="2BC102E9" w:rsidR="003B68F3" w:rsidRDefault="003B68F3" w:rsidP="00EB7ABF">
            <w:pPr>
              <w:rPr>
                <w:noProof/>
                <w:sz w:val="24"/>
              </w:rPr>
            </w:pPr>
            <w:proofErr w:type="spellStart"/>
            <w:r>
              <w:rPr>
                <w:color w:val="000009"/>
                <w:sz w:val="24"/>
              </w:rPr>
              <w:t>Moigių</w:t>
            </w:r>
            <w:proofErr w:type="spellEnd"/>
            <w:r>
              <w:rPr>
                <w:color w:val="000009"/>
                <w:spacing w:val="-15"/>
                <w:sz w:val="24"/>
              </w:rPr>
              <w:t xml:space="preserve"> </w:t>
            </w:r>
            <w:r>
              <w:rPr>
                <w:color w:val="000009"/>
                <w:sz w:val="24"/>
              </w:rPr>
              <w:t>namuose</w:t>
            </w:r>
            <w:r>
              <w:rPr>
                <w:color w:val="000009"/>
                <w:spacing w:val="-14"/>
                <w:sz w:val="24"/>
              </w:rPr>
              <w:t xml:space="preserve"> </w:t>
            </w:r>
            <w:r>
              <w:rPr>
                <w:color w:val="000009"/>
                <w:sz w:val="24"/>
              </w:rPr>
              <w:t>(</w:t>
            </w:r>
            <w:r>
              <w:rPr>
                <w:color w:val="000009"/>
                <w:spacing w:val="-15"/>
                <w:sz w:val="24"/>
              </w:rPr>
              <w:t xml:space="preserve"> </w:t>
            </w:r>
            <w:r>
              <w:rPr>
                <w:color w:val="000009"/>
                <w:sz w:val="24"/>
              </w:rPr>
              <w:t>Vasario</w:t>
            </w:r>
            <w:r>
              <w:rPr>
                <w:color w:val="000009"/>
                <w:spacing w:val="-13"/>
                <w:sz w:val="24"/>
              </w:rPr>
              <w:t xml:space="preserve"> </w:t>
            </w:r>
            <w:r>
              <w:rPr>
                <w:color w:val="000009"/>
                <w:sz w:val="24"/>
              </w:rPr>
              <w:t>16-osios</w:t>
            </w:r>
            <w:r>
              <w:rPr>
                <w:color w:val="000009"/>
                <w:spacing w:val="-14"/>
                <w:sz w:val="24"/>
              </w:rPr>
              <w:t xml:space="preserve"> </w:t>
            </w:r>
            <w:r>
              <w:rPr>
                <w:color w:val="000009"/>
                <w:sz w:val="24"/>
              </w:rPr>
              <w:t xml:space="preserve">g. 23, 25A) veikiančios ekspozicijos ir </w:t>
            </w:r>
            <w:r>
              <w:rPr>
                <w:color w:val="000009"/>
                <w:spacing w:val="-2"/>
                <w:sz w:val="24"/>
              </w:rPr>
              <w:t>parodos:</w:t>
            </w:r>
          </w:p>
        </w:tc>
        <w:tc>
          <w:tcPr>
            <w:tcW w:w="851" w:type="dxa"/>
            <w:tcBorders>
              <w:top w:val="single" w:sz="4" w:space="0" w:color="00000A"/>
              <w:left w:val="single" w:sz="4" w:space="0" w:color="00000A"/>
              <w:bottom w:val="single" w:sz="4" w:space="0" w:color="00000A"/>
              <w:right w:val="single" w:sz="4" w:space="0" w:color="00000A"/>
            </w:tcBorders>
          </w:tcPr>
          <w:p w14:paraId="68C266A8" w14:textId="77777777" w:rsidR="003B68F3" w:rsidRDefault="003B68F3" w:rsidP="00EB7ABF">
            <w:pPr>
              <w:jc w:val="center"/>
              <w:textAlignment w:val="auto"/>
              <w:rPr>
                <w:rFonts w:eastAsia="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04E932EC" w14:textId="77777777" w:rsidR="003B68F3" w:rsidRDefault="003B68F3"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1532CD4" w14:textId="77777777" w:rsidR="003B68F3" w:rsidRDefault="003B68F3"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EEB711E" w14:textId="77777777" w:rsidR="003B68F3" w:rsidRDefault="003B68F3" w:rsidP="00EB7ABF">
            <w:pPr>
              <w:pStyle w:val="Standard"/>
              <w:widowControl w:val="0"/>
              <w:rPr>
                <w:color w:val="000000"/>
                <w:szCs w:val="24"/>
              </w:rPr>
            </w:pP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95F7D44" w14:textId="77777777" w:rsidR="003B68F3" w:rsidRDefault="003B68F3"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3F557857" w14:textId="77777777" w:rsidR="003B68F3" w:rsidRPr="003B68F3" w:rsidRDefault="003B68F3" w:rsidP="00EB7ABF">
            <w:pPr>
              <w:pStyle w:val="Standard"/>
              <w:widowControl w:val="0"/>
              <w:rPr>
                <w:szCs w:val="24"/>
                <w:lang w:val="pt-PT" w:eastAsia="en-US"/>
              </w:rPr>
            </w:pPr>
          </w:p>
        </w:tc>
      </w:tr>
      <w:tr w:rsidR="003B68F3" w14:paraId="061B5012" w14:textId="77777777" w:rsidTr="005C2A3D">
        <w:trPr>
          <w:cantSplit/>
          <w:jc w:val="center"/>
        </w:trPr>
        <w:tc>
          <w:tcPr>
            <w:tcW w:w="705" w:type="dxa"/>
            <w:vMerge/>
            <w:tcBorders>
              <w:left w:val="single" w:sz="4" w:space="0" w:color="00000A"/>
              <w:right w:val="single" w:sz="4" w:space="0" w:color="00000A"/>
            </w:tcBorders>
          </w:tcPr>
          <w:p w14:paraId="69916692" w14:textId="77777777" w:rsidR="003B68F3" w:rsidRDefault="003B68F3"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0A18D326" w14:textId="66CF4007" w:rsidR="003B68F3" w:rsidRDefault="003B68F3" w:rsidP="00EB7ABF">
            <w:pPr>
              <w:rPr>
                <w:noProof/>
                <w:sz w:val="24"/>
              </w:rPr>
            </w:pPr>
            <w:r>
              <w:rPr>
                <w:noProof/>
                <w:sz w:val="24"/>
              </w:rPr>
              <w:t>suaugusiesiams</w:t>
            </w:r>
          </w:p>
        </w:tc>
        <w:tc>
          <w:tcPr>
            <w:tcW w:w="851" w:type="dxa"/>
            <w:tcBorders>
              <w:top w:val="single" w:sz="4" w:space="0" w:color="00000A"/>
              <w:left w:val="single" w:sz="4" w:space="0" w:color="00000A"/>
              <w:bottom w:val="single" w:sz="4" w:space="0" w:color="00000A"/>
              <w:right w:val="single" w:sz="4" w:space="0" w:color="00000A"/>
            </w:tcBorders>
          </w:tcPr>
          <w:p w14:paraId="7568FFB1" w14:textId="2AE255C6" w:rsidR="003B68F3" w:rsidRDefault="003B68F3" w:rsidP="00EB7ABF">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tc>
        <w:tc>
          <w:tcPr>
            <w:tcW w:w="1417" w:type="dxa"/>
            <w:tcBorders>
              <w:top w:val="single" w:sz="4" w:space="0" w:color="00000A"/>
              <w:left w:val="single" w:sz="4" w:space="0" w:color="00000A"/>
              <w:bottom w:val="single" w:sz="4" w:space="0" w:color="00000A"/>
              <w:right w:val="single" w:sz="4" w:space="0" w:color="00000A"/>
            </w:tcBorders>
          </w:tcPr>
          <w:p w14:paraId="58260D8E" w14:textId="1056565A" w:rsidR="003B68F3" w:rsidRDefault="003B68F3" w:rsidP="00EB7ABF">
            <w:pPr>
              <w:jc w:val="center"/>
              <w:textAlignment w:val="auto"/>
              <w:rPr>
                <w:rFonts w:eastAsia="Times New Roman"/>
                <w:sz w:val="24"/>
                <w:szCs w:val="24"/>
              </w:rPr>
            </w:pPr>
            <w:r>
              <w:rPr>
                <w:rFonts w:eastAsia="Times New Roman"/>
                <w:sz w:val="24"/>
                <w:szCs w:val="24"/>
              </w:rPr>
              <w:t>4,00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6E2DBEC" w14:textId="77777777" w:rsidR="003B68F3" w:rsidRDefault="003B68F3"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81BD6B0" w14:textId="6FAF8A4D" w:rsidR="003B68F3" w:rsidRDefault="003B68F3" w:rsidP="00EB7ABF">
            <w:pPr>
              <w:pStyle w:val="Standard"/>
              <w:widowControl w:val="0"/>
              <w:rPr>
                <w:color w:val="000000"/>
                <w:szCs w:val="24"/>
              </w:rPr>
            </w:pPr>
            <w:r>
              <w:rPr>
                <w:color w:val="000000"/>
                <w:szCs w:val="24"/>
              </w:rPr>
              <w:t>Nepakitęs</w:t>
            </w:r>
            <w:r w:rsidR="008E2334">
              <w:rPr>
                <w:color w:val="000000"/>
                <w:szCs w:val="24"/>
              </w:rPr>
              <w:t xml:space="preserve">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F07CB45" w14:textId="77777777" w:rsidR="003B68F3" w:rsidRDefault="003B68F3"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590DEBC8" w14:textId="77777777" w:rsidR="003B68F3" w:rsidRDefault="003B68F3" w:rsidP="00EB7ABF">
            <w:pPr>
              <w:pStyle w:val="Standard"/>
              <w:widowControl w:val="0"/>
              <w:rPr>
                <w:szCs w:val="24"/>
                <w:lang w:val="en-US" w:eastAsia="en-US"/>
              </w:rPr>
            </w:pPr>
          </w:p>
        </w:tc>
      </w:tr>
      <w:tr w:rsidR="003B68F3" w14:paraId="21591B4B" w14:textId="77777777" w:rsidTr="005C2A3D">
        <w:trPr>
          <w:cantSplit/>
          <w:jc w:val="center"/>
        </w:trPr>
        <w:tc>
          <w:tcPr>
            <w:tcW w:w="705" w:type="dxa"/>
            <w:vMerge/>
            <w:tcBorders>
              <w:left w:val="single" w:sz="4" w:space="0" w:color="00000A"/>
              <w:right w:val="single" w:sz="4" w:space="0" w:color="00000A"/>
            </w:tcBorders>
          </w:tcPr>
          <w:p w14:paraId="026A29E2" w14:textId="77777777" w:rsidR="003B68F3" w:rsidRDefault="003B68F3"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3DD561E6" w14:textId="0270147C" w:rsidR="003B68F3" w:rsidRDefault="003B68F3" w:rsidP="00EB7ABF">
            <w:pPr>
              <w:rPr>
                <w:noProof/>
                <w:sz w:val="24"/>
              </w:rPr>
            </w:pPr>
            <w:r>
              <w:rPr>
                <w:noProof/>
                <w:sz w:val="24"/>
              </w:rPr>
              <w:t>moksleiviams, studentams, senjorams, kariams</w:t>
            </w:r>
          </w:p>
        </w:tc>
        <w:tc>
          <w:tcPr>
            <w:tcW w:w="851" w:type="dxa"/>
            <w:tcBorders>
              <w:top w:val="single" w:sz="4" w:space="0" w:color="00000A"/>
              <w:left w:val="single" w:sz="4" w:space="0" w:color="00000A"/>
              <w:bottom w:val="single" w:sz="4" w:space="0" w:color="00000A"/>
              <w:right w:val="single" w:sz="4" w:space="0" w:color="00000A"/>
            </w:tcBorders>
          </w:tcPr>
          <w:p w14:paraId="3E198122" w14:textId="31981D4B" w:rsidR="003B68F3" w:rsidRDefault="003B68F3" w:rsidP="00EB7ABF">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tc>
        <w:tc>
          <w:tcPr>
            <w:tcW w:w="1417" w:type="dxa"/>
            <w:tcBorders>
              <w:top w:val="single" w:sz="4" w:space="0" w:color="00000A"/>
              <w:left w:val="single" w:sz="4" w:space="0" w:color="00000A"/>
              <w:bottom w:val="single" w:sz="4" w:space="0" w:color="00000A"/>
              <w:right w:val="single" w:sz="4" w:space="0" w:color="00000A"/>
            </w:tcBorders>
          </w:tcPr>
          <w:p w14:paraId="737BD841" w14:textId="12715A7C" w:rsidR="003B68F3" w:rsidRDefault="003B68F3" w:rsidP="00EB7ABF">
            <w:pPr>
              <w:jc w:val="center"/>
              <w:textAlignment w:val="auto"/>
              <w:rPr>
                <w:rFonts w:eastAsia="Times New Roman"/>
                <w:sz w:val="24"/>
                <w:szCs w:val="24"/>
              </w:rPr>
            </w:pPr>
            <w:r>
              <w:rPr>
                <w:rFonts w:eastAsia="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1242CD2" w14:textId="77777777" w:rsidR="003B68F3" w:rsidRDefault="003B68F3"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3D87432" w14:textId="78B48493" w:rsidR="003B68F3" w:rsidRDefault="003B68F3" w:rsidP="00EB7ABF">
            <w:pPr>
              <w:pStyle w:val="Standard"/>
              <w:widowControl w:val="0"/>
              <w:rPr>
                <w:color w:val="000000"/>
                <w:szCs w:val="24"/>
              </w:rPr>
            </w:pPr>
            <w:r>
              <w:rPr>
                <w:color w:val="000000"/>
                <w:szCs w:val="24"/>
              </w:rPr>
              <w:t>Nepakitęs</w:t>
            </w:r>
            <w:r w:rsidR="008E2334">
              <w:rPr>
                <w:color w:val="000000"/>
                <w:szCs w:val="24"/>
              </w:rPr>
              <w:t xml:space="preserve">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1EE5809" w14:textId="77777777" w:rsidR="003B68F3" w:rsidRDefault="003B68F3"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5FB4421C" w14:textId="77777777" w:rsidR="003B68F3" w:rsidRDefault="003B68F3" w:rsidP="00EB7ABF">
            <w:pPr>
              <w:pStyle w:val="Standard"/>
              <w:widowControl w:val="0"/>
              <w:rPr>
                <w:szCs w:val="24"/>
                <w:lang w:val="en-US" w:eastAsia="en-US"/>
              </w:rPr>
            </w:pPr>
          </w:p>
        </w:tc>
      </w:tr>
      <w:tr w:rsidR="003B68F3" w14:paraId="1C03D9AF" w14:textId="77777777" w:rsidTr="005C2A3D">
        <w:trPr>
          <w:cantSplit/>
          <w:jc w:val="center"/>
        </w:trPr>
        <w:tc>
          <w:tcPr>
            <w:tcW w:w="705" w:type="dxa"/>
            <w:vMerge/>
            <w:tcBorders>
              <w:left w:val="single" w:sz="4" w:space="0" w:color="00000A"/>
              <w:bottom w:val="single" w:sz="4" w:space="0" w:color="00000A"/>
              <w:right w:val="single" w:sz="4" w:space="0" w:color="00000A"/>
            </w:tcBorders>
          </w:tcPr>
          <w:p w14:paraId="0474A351" w14:textId="77777777" w:rsidR="003B68F3" w:rsidRDefault="003B68F3"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09AA05BD" w14:textId="5CFE31AD" w:rsidR="003B68F3" w:rsidRDefault="003B68F3" w:rsidP="00EB7ABF">
            <w:pPr>
              <w:rPr>
                <w:noProof/>
                <w:sz w:val="24"/>
              </w:rPr>
            </w:pPr>
            <w:r>
              <w:rPr>
                <w:noProof/>
                <w:sz w:val="24"/>
              </w:rPr>
              <w:t>šeimai</w:t>
            </w:r>
          </w:p>
        </w:tc>
        <w:tc>
          <w:tcPr>
            <w:tcW w:w="851" w:type="dxa"/>
            <w:tcBorders>
              <w:top w:val="single" w:sz="4" w:space="0" w:color="00000A"/>
              <w:left w:val="single" w:sz="4" w:space="0" w:color="00000A"/>
              <w:bottom w:val="single" w:sz="4" w:space="0" w:color="00000A"/>
              <w:right w:val="single" w:sz="4" w:space="0" w:color="00000A"/>
            </w:tcBorders>
          </w:tcPr>
          <w:p w14:paraId="5AAAD6AF" w14:textId="20891282" w:rsidR="003B68F3" w:rsidRDefault="003B68F3" w:rsidP="00EB7ABF">
            <w:pPr>
              <w:jc w:val="center"/>
              <w:textAlignment w:val="auto"/>
              <w:rPr>
                <w:rFonts w:eastAsia="Times New Roman"/>
                <w:sz w:val="24"/>
                <w:szCs w:val="24"/>
              </w:rPr>
            </w:pPr>
            <w:r>
              <w:rPr>
                <w:rFonts w:eastAsia="Times New Roman"/>
                <w:sz w:val="24"/>
                <w:szCs w:val="24"/>
              </w:rPr>
              <w:t>šeima</w:t>
            </w:r>
            <w:r>
              <w:rPr>
                <w:color w:val="000009"/>
                <w:sz w:val="24"/>
              </w:rPr>
              <w:t>(iki</w:t>
            </w:r>
            <w:r>
              <w:rPr>
                <w:color w:val="000009"/>
                <w:spacing w:val="-15"/>
                <w:sz w:val="24"/>
              </w:rPr>
              <w:t xml:space="preserve"> </w:t>
            </w:r>
            <w:r>
              <w:rPr>
                <w:color w:val="000009"/>
                <w:sz w:val="24"/>
              </w:rPr>
              <w:t>5</w:t>
            </w:r>
            <w:r>
              <w:rPr>
                <w:color w:val="000009"/>
                <w:spacing w:val="-15"/>
                <w:sz w:val="24"/>
              </w:rPr>
              <w:t xml:space="preserve"> </w:t>
            </w:r>
            <w:proofErr w:type="spellStart"/>
            <w:r>
              <w:rPr>
                <w:color w:val="000009"/>
                <w:sz w:val="24"/>
              </w:rPr>
              <w:t>asm</w:t>
            </w:r>
            <w:proofErr w:type="spellEnd"/>
            <w:r>
              <w:rPr>
                <w:color w:val="000009"/>
                <w:sz w:val="24"/>
              </w:rPr>
              <w:t>.)</w:t>
            </w:r>
          </w:p>
        </w:tc>
        <w:tc>
          <w:tcPr>
            <w:tcW w:w="1417" w:type="dxa"/>
            <w:tcBorders>
              <w:top w:val="single" w:sz="4" w:space="0" w:color="00000A"/>
              <w:left w:val="single" w:sz="4" w:space="0" w:color="00000A"/>
              <w:bottom w:val="single" w:sz="4" w:space="0" w:color="00000A"/>
              <w:right w:val="single" w:sz="4" w:space="0" w:color="00000A"/>
            </w:tcBorders>
          </w:tcPr>
          <w:p w14:paraId="465390D6" w14:textId="6E994A91" w:rsidR="003B68F3" w:rsidRDefault="003B68F3" w:rsidP="00EB7ABF">
            <w:pPr>
              <w:jc w:val="center"/>
              <w:textAlignment w:val="auto"/>
              <w:rPr>
                <w:rFonts w:eastAsia="Times New Roman"/>
                <w:sz w:val="24"/>
                <w:szCs w:val="24"/>
              </w:rPr>
            </w:pPr>
            <w:r>
              <w:rPr>
                <w:rFonts w:eastAsia="Times New Roman"/>
                <w:sz w:val="24"/>
                <w:szCs w:val="24"/>
              </w:rPr>
              <w:t>8,00</w:t>
            </w:r>
          </w:p>
          <w:p w14:paraId="66FAEC29" w14:textId="4D5DBF84" w:rsidR="003B68F3" w:rsidRDefault="003B68F3"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342D303" w14:textId="77777777" w:rsidR="003B68F3" w:rsidRDefault="003B68F3"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5A5E610" w14:textId="4AFD750C" w:rsidR="003B68F3" w:rsidRDefault="003B68F3" w:rsidP="00EB7ABF">
            <w:pPr>
              <w:pStyle w:val="Standard"/>
              <w:widowControl w:val="0"/>
              <w:rPr>
                <w:color w:val="000000"/>
                <w:szCs w:val="24"/>
              </w:rPr>
            </w:pPr>
            <w:r>
              <w:rPr>
                <w:color w:val="000000"/>
                <w:szCs w:val="24"/>
              </w:rPr>
              <w:t>Nepakitęs</w:t>
            </w:r>
            <w:r w:rsidR="008E2334">
              <w:rPr>
                <w:color w:val="000000"/>
                <w:szCs w:val="24"/>
              </w:rPr>
              <w:t xml:space="preserve">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877FB0E" w14:textId="77777777" w:rsidR="003B68F3" w:rsidRDefault="003B68F3"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2DE7430B" w14:textId="77777777" w:rsidR="003B68F3" w:rsidRDefault="003B68F3" w:rsidP="00EB7ABF">
            <w:pPr>
              <w:pStyle w:val="Standard"/>
              <w:widowControl w:val="0"/>
              <w:rPr>
                <w:szCs w:val="24"/>
                <w:lang w:val="en-US" w:eastAsia="en-US"/>
              </w:rPr>
            </w:pPr>
          </w:p>
        </w:tc>
      </w:tr>
      <w:tr w:rsidR="001339A8" w14:paraId="7FB85B57" w14:textId="77777777" w:rsidTr="00754DEC">
        <w:trPr>
          <w:cantSplit/>
          <w:jc w:val="center"/>
        </w:trPr>
        <w:tc>
          <w:tcPr>
            <w:tcW w:w="705" w:type="dxa"/>
            <w:tcBorders>
              <w:top w:val="single" w:sz="4" w:space="0" w:color="00000A"/>
              <w:left w:val="single" w:sz="4" w:space="0" w:color="00000A"/>
              <w:bottom w:val="single" w:sz="4" w:space="0" w:color="00000A"/>
              <w:right w:val="single" w:sz="4" w:space="0" w:color="00000A"/>
            </w:tcBorders>
          </w:tcPr>
          <w:p w14:paraId="13D1291D" w14:textId="6027582D" w:rsidR="001339A8" w:rsidRDefault="001339A8" w:rsidP="00EB7ABF">
            <w:pPr>
              <w:spacing w:line="252" w:lineRule="auto"/>
              <w:jc w:val="center"/>
              <w:textAlignment w:val="auto"/>
              <w:rPr>
                <w:rFonts w:eastAsia="Times New Roman"/>
                <w:sz w:val="24"/>
                <w:szCs w:val="24"/>
              </w:rPr>
            </w:pPr>
            <w:r>
              <w:rPr>
                <w:rFonts w:eastAsia="Times New Roman"/>
                <w:sz w:val="24"/>
                <w:szCs w:val="24"/>
              </w:rPr>
              <w:t>1.2.</w:t>
            </w:r>
          </w:p>
        </w:tc>
        <w:tc>
          <w:tcPr>
            <w:tcW w:w="3232" w:type="dxa"/>
            <w:tcBorders>
              <w:top w:val="single" w:sz="4" w:space="0" w:color="00000A"/>
              <w:left w:val="single" w:sz="4" w:space="0" w:color="00000A"/>
              <w:bottom w:val="single" w:sz="4" w:space="0" w:color="00000A"/>
              <w:right w:val="single" w:sz="4" w:space="0" w:color="00000A"/>
            </w:tcBorders>
          </w:tcPr>
          <w:p w14:paraId="5A22F249" w14:textId="1FF1D7F5" w:rsidR="001339A8" w:rsidRDefault="0082611F" w:rsidP="00EB7ABF">
            <w:pPr>
              <w:rPr>
                <w:noProof/>
                <w:sz w:val="24"/>
              </w:rPr>
            </w:pPr>
            <w:r>
              <w:rPr>
                <w:color w:val="000009"/>
                <w:sz w:val="24"/>
              </w:rPr>
              <w:t xml:space="preserve">Pasipriešinimo sovietinei okupacijai ir Sąjūdžio (Respublikos g. 17), „Upytės bajorų“ (Kranto g. 21), „Panevėžio sporto istorijos“ („Kalnapilio“ arenoje) </w:t>
            </w:r>
            <w:r>
              <w:rPr>
                <w:color w:val="000009"/>
                <w:spacing w:val="-2"/>
                <w:sz w:val="24"/>
              </w:rPr>
              <w:t>ekspozicijos</w:t>
            </w:r>
          </w:p>
        </w:tc>
        <w:tc>
          <w:tcPr>
            <w:tcW w:w="851" w:type="dxa"/>
            <w:tcBorders>
              <w:top w:val="single" w:sz="4" w:space="0" w:color="00000A"/>
              <w:left w:val="single" w:sz="4" w:space="0" w:color="00000A"/>
              <w:bottom w:val="single" w:sz="4" w:space="0" w:color="00000A"/>
              <w:right w:val="single" w:sz="4" w:space="0" w:color="00000A"/>
            </w:tcBorders>
          </w:tcPr>
          <w:p w14:paraId="09B5AF91" w14:textId="22D065C5" w:rsidR="001339A8" w:rsidRDefault="00E52BBC" w:rsidP="00EB7ABF">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tc>
        <w:tc>
          <w:tcPr>
            <w:tcW w:w="1417" w:type="dxa"/>
            <w:tcBorders>
              <w:top w:val="single" w:sz="4" w:space="0" w:color="00000A"/>
              <w:left w:val="single" w:sz="4" w:space="0" w:color="00000A"/>
              <w:bottom w:val="single" w:sz="4" w:space="0" w:color="00000A"/>
              <w:right w:val="single" w:sz="4" w:space="0" w:color="00000A"/>
            </w:tcBorders>
          </w:tcPr>
          <w:p w14:paraId="1A1D0760" w14:textId="185F563C" w:rsidR="001339A8" w:rsidRDefault="0082611F" w:rsidP="00EB7ABF">
            <w:pPr>
              <w:jc w:val="center"/>
              <w:textAlignment w:val="auto"/>
              <w:rPr>
                <w:rFonts w:eastAsia="Times New Roman"/>
                <w:sz w:val="24"/>
                <w:szCs w:val="24"/>
              </w:rPr>
            </w:pPr>
            <w:proofErr w:type="spellStart"/>
            <w:r>
              <w:rPr>
                <w:rFonts w:eastAsia="Times New Roman"/>
                <w:sz w:val="24"/>
                <w:szCs w:val="24"/>
              </w:rPr>
              <w:t>Namokamai</w:t>
            </w:r>
            <w:proofErr w:type="spellEnd"/>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6B09C1B" w14:textId="77777777" w:rsidR="001339A8" w:rsidRDefault="001339A8"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061946C" w14:textId="48452F1B" w:rsidR="001339A8" w:rsidRDefault="001339A8" w:rsidP="00EB7ABF">
            <w:pPr>
              <w:pStyle w:val="Standard"/>
              <w:widowControl w:val="0"/>
              <w:rPr>
                <w:color w:val="000000"/>
                <w:szCs w:val="24"/>
              </w:rPr>
            </w:pPr>
            <w:r>
              <w:rPr>
                <w:color w:val="000000"/>
                <w:szCs w:val="24"/>
              </w:rPr>
              <w:t>Nepakitęs</w:t>
            </w:r>
            <w:r w:rsidR="008E2334">
              <w:rPr>
                <w:color w:val="000000"/>
                <w:szCs w:val="24"/>
              </w:rPr>
              <w:t xml:space="preserve">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A87BA31" w14:textId="77777777" w:rsidR="001339A8" w:rsidRDefault="001339A8"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23FEC42B" w14:textId="77777777" w:rsidR="001339A8" w:rsidRDefault="001339A8" w:rsidP="00EB7ABF">
            <w:pPr>
              <w:pStyle w:val="Standard"/>
              <w:widowControl w:val="0"/>
              <w:rPr>
                <w:szCs w:val="24"/>
                <w:lang w:val="en-US" w:eastAsia="en-US"/>
              </w:rPr>
            </w:pPr>
          </w:p>
        </w:tc>
      </w:tr>
      <w:tr w:rsidR="00EB7ABF" w14:paraId="28E0CEA0" w14:textId="77777777" w:rsidTr="00754DEC">
        <w:trPr>
          <w:cantSplit/>
          <w:jc w:val="center"/>
        </w:trPr>
        <w:tc>
          <w:tcPr>
            <w:tcW w:w="705" w:type="dxa"/>
            <w:tcBorders>
              <w:top w:val="single" w:sz="4" w:space="0" w:color="00000A"/>
              <w:left w:val="single" w:sz="4" w:space="0" w:color="00000A"/>
              <w:bottom w:val="single" w:sz="4" w:space="0" w:color="00000A"/>
              <w:right w:val="single" w:sz="4" w:space="0" w:color="00000A"/>
            </w:tcBorders>
          </w:tcPr>
          <w:p w14:paraId="7085EB99" w14:textId="1EFB0489" w:rsidR="00EB7ABF" w:rsidRPr="008E2334" w:rsidRDefault="00EB7ABF" w:rsidP="00EB7ABF">
            <w:pPr>
              <w:spacing w:line="252" w:lineRule="auto"/>
              <w:jc w:val="center"/>
              <w:textAlignment w:val="auto"/>
              <w:rPr>
                <w:rFonts w:eastAsia="Times New Roman"/>
                <w:sz w:val="24"/>
                <w:szCs w:val="24"/>
              </w:rPr>
            </w:pPr>
            <w:r w:rsidRPr="008E2334">
              <w:rPr>
                <w:rFonts w:eastAsia="Times New Roman"/>
                <w:sz w:val="24"/>
                <w:szCs w:val="24"/>
              </w:rPr>
              <w:t>1.3.</w:t>
            </w:r>
          </w:p>
        </w:tc>
        <w:tc>
          <w:tcPr>
            <w:tcW w:w="3232" w:type="dxa"/>
            <w:tcBorders>
              <w:top w:val="single" w:sz="4" w:space="0" w:color="00000A"/>
              <w:left w:val="single" w:sz="4" w:space="0" w:color="00000A"/>
              <w:bottom w:val="single" w:sz="4" w:space="0" w:color="00000A"/>
              <w:right w:val="single" w:sz="4" w:space="0" w:color="00000A"/>
            </w:tcBorders>
          </w:tcPr>
          <w:p w14:paraId="5CAC3628" w14:textId="000283DF" w:rsidR="00E52BBC" w:rsidRDefault="002201A7" w:rsidP="001B0E15">
            <w:pPr>
              <w:rPr>
                <w:rFonts w:eastAsia="Times New Roman"/>
                <w:sz w:val="24"/>
                <w:szCs w:val="24"/>
              </w:rPr>
            </w:pPr>
            <w:r w:rsidRPr="00D734D4">
              <w:rPr>
                <w:rFonts w:eastAsia="Times New Roman"/>
                <w:sz w:val="24"/>
                <w:szCs w:val="24"/>
              </w:rPr>
              <w:t xml:space="preserve">Miesto meno ir istorijos bilietas (ekspozicijų lankymas): Panevėžio kraštotyros muziejus (Vasario </w:t>
            </w:r>
            <w:r w:rsidRPr="00D734D4">
              <w:rPr>
                <w:rFonts w:eastAsia="Times New Roman"/>
                <w:sz w:val="24"/>
                <w:szCs w:val="24"/>
              </w:rPr>
              <w:lastRenderedPageBreak/>
              <w:t>16-osios g. 23), Dailės galerija (Respublikos g. 3), SEMC (Respublikos g. 40)</w:t>
            </w:r>
          </w:p>
        </w:tc>
        <w:tc>
          <w:tcPr>
            <w:tcW w:w="851" w:type="dxa"/>
            <w:tcBorders>
              <w:top w:val="single" w:sz="4" w:space="0" w:color="00000A"/>
              <w:left w:val="single" w:sz="4" w:space="0" w:color="00000A"/>
              <w:bottom w:val="single" w:sz="4" w:space="0" w:color="00000A"/>
              <w:right w:val="single" w:sz="4" w:space="0" w:color="00000A"/>
            </w:tcBorders>
          </w:tcPr>
          <w:p w14:paraId="55A673D2" w14:textId="1E89814E" w:rsidR="00E52BBC" w:rsidRDefault="00E52BBC" w:rsidP="00EB7ABF">
            <w:pPr>
              <w:jc w:val="center"/>
              <w:textAlignment w:val="auto"/>
              <w:rPr>
                <w:rFonts w:eastAsia="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6DB63094" w14:textId="6A702109" w:rsidR="00E52BBC" w:rsidRDefault="00E52BBC"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172902F" w14:textId="2FD6C1F7" w:rsidR="00E52BBC" w:rsidRDefault="00E52BBC"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3121CA3" w14:textId="68C10B20" w:rsidR="00EB7ABF" w:rsidRDefault="008E2334" w:rsidP="00EB7ABF">
            <w:pPr>
              <w:pStyle w:val="Standard"/>
              <w:widowControl w:val="0"/>
              <w:rPr>
                <w:color w:val="000000"/>
                <w:szCs w:val="24"/>
              </w:rPr>
            </w:pPr>
            <w:r>
              <w:rPr>
                <w:color w:val="000000"/>
                <w:szCs w:val="24"/>
              </w:rPr>
              <w:t>Nepakitęs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8E17096" w14:textId="3A047222" w:rsidR="0046124F" w:rsidRPr="0046124F" w:rsidRDefault="0046124F" w:rsidP="0046124F">
            <w:pPr>
              <w:ind w:right="135"/>
              <w:jc w:val="both"/>
              <w:rPr>
                <w:rFonts w:eastAsia="Times New Roman"/>
                <w:sz w:val="22"/>
                <w:szCs w:val="22"/>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4BA8E187" w14:textId="2C9DBA65" w:rsidR="00EB7ABF" w:rsidRPr="004D6425" w:rsidRDefault="00EB7ABF" w:rsidP="0046124F">
            <w:pPr>
              <w:rPr>
                <w:sz w:val="24"/>
                <w:szCs w:val="24"/>
              </w:rPr>
            </w:pPr>
          </w:p>
        </w:tc>
      </w:tr>
      <w:tr w:rsidR="0046124F" w14:paraId="415EE1DE" w14:textId="77777777" w:rsidTr="00E12EB2">
        <w:trPr>
          <w:cantSplit/>
          <w:jc w:val="center"/>
        </w:trPr>
        <w:tc>
          <w:tcPr>
            <w:tcW w:w="705" w:type="dxa"/>
            <w:vMerge w:val="restart"/>
            <w:tcBorders>
              <w:top w:val="single" w:sz="4" w:space="0" w:color="00000A"/>
              <w:left w:val="single" w:sz="4" w:space="0" w:color="00000A"/>
              <w:right w:val="single" w:sz="4" w:space="0" w:color="00000A"/>
            </w:tcBorders>
          </w:tcPr>
          <w:p w14:paraId="7CAAE914" w14:textId="77777777" w:rsidR="0046124F" w:rsidRDefault="0046124F"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3A5400BB" w14:textId="77777777" w:rsidR="0046124F" w:rsidRDefault="0046124F" w:rsidP="001B0E15">
            <w:pPr>
              <w:rPr>
                <w:rFonts w:eastAsia="Times New Roman"/>
                <w:sz w:val="24"/>
                <w:szCs w:val="24"/>
              </w:rPr>
            </w:pPr>
            <w:r>
              <w:rPr>
                <w:rFonts w:eastAsia="Times New Roman"/>
                <w:sz w:val="24"/>
                <w:szCs w:val="24"/>
              </w:rPr>
              <w:t>Suaugusiesiems</w:t>
            </w:r>
          </w:p>
          <w:p w14:paraId="43BCAD16" w14:textId="77777777" w:rsidR="0046124F" w:rsidRDefault="0046124F" w:rsidP="00EB7ABF">
            <w:pPr>
              <w:rPr>
                <w:rFonts w:eastAsia="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tcPr>
          <w:p w14:paraId="3073C322" w14:textId="77777777" w:rsidR="0046124F" w:rsidRDefault="0046124F" w:rsidP="001B0E15">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p w14:paraId="3848F28B" w14:textId="77777777" w:rsidR="0046124F" w:rsidRDefault="0046124F" w:rsidP="00EB7ABF">
            <w:pPr>
              <w:jc w:val="center"/>
              <w:textAlignment w:val="auto"/>
              <w:rPr>
                <w:rFonts w:eastAsia="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618D9842" w14:textId="77777777" w:rsidR="0046124F" w:rsidRDefault="0046124F"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05E62B3" w14:textId="64D34F09" w:rsidR="0046124F" w:rsidRDefault="0046124F" w:rsidP="001B0E15">
            <w:pPr>
              <w:jc w:val="center"/>
              <w:textAlignment w:val="auto"/>
              <w:rPr>
                <w:rFonts w:eastAsia="Times New Roman"/>
                <w:sz w:val="24"/>
                <w:szCs w:val="24"/>
              </w:rPr>
            </w:pPr>
            <w:r>
              <w:rPr>
                <w:rFonts w:eastAsia="Times New Roman"/>
                <w:sz w:val="24"/>
                <w:szCs w:val="24"/>
              </w:rPr>
              <w:t>12</w:t>
            </w:r>
            <w:r w:rsidR="003B68F3">
              <w:rPr>
                <w:rFonts w:eastAsia="Times New Roman"/>
                <w:sz w:val="24"/>
                <w:szCs w:val="24"/>
              </w:rPr>
              <w:t>,</w:t>
            </w:r>
            <w:r>
              <w:rPr>
                <w:rFonts w:eastAsia="Times New Roman"/>
                <w:sz w:val="24"/>
                <w:szCs w:val="24"/>
              </w:rPr>
              <w:t>00</w:t>
            </w:r>
          </w:p>
          <w:p w14:paraId="10170D0C" w14:textId="77777777" w:rsidR="0046124F" w:rsidRDefault="0046124F" w:rsidP="00EB7ABF">
            <w:pPr>
              <w:pStyle w:val="Standard"/>
              <w:widowControl w:val="0"/>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F5C3C81" w14:textId="7DDC1917" w:rsidR="0046124F" w:rsidRDefault="008E2334" w:rsidP="00EB7ABF">
            <w:pPr>
              <w:pStyle w:val="Standard"/>
              <w:widowControl w:val="0"/>
              <w:rPr>
                <w:color w:val="000000"/>
                <w:szCs w:val="24"/>
              </w:rPr>
            </w:pPr>
            <w:r>
              <w:rPr>
                <w:color w:val="000000"/>
                <w:szCs w:val="24"/>
              </w:rPr>
              <w:t>Nepakitęs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08A1513" w14:textId="77777777" w:rsidR="0046124F" w:rsidRDefault="0046124F"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7C576F89" w14:textId="77777777" w:rsidR="0046124F" w:rsidRPr="004D6425" w:rsidRDefault="0046124F" w:rsidP="00EB7ABF">
            <w:pPr>
              <w:rPr>
                <w:sz w:val="24"/>
                <w:szCs w:val="24"/>
              </w:rPr>
            </w:pPr>
          </w:p>
        </w:tc>
      </w:tr>
      <w:tr w:rsidR="0046124F" w14:paraId="570AD15C" w14:textId="77777777" w:rsidTr="008E2334">
        <w:trPr>
          <w:cantSplit/>
          <w:jc w:val="center"/>
        </w:trPr>
        <w:tc>
          <w:tcPr>
            <w:tcW w:w="705" w:type="dxa"/>
            <w:vMerge/>
            <w:tcBorders>
              <w:left w:val="single" w:sz="4" w:space="0" w:color="00000A"/>
              <w:right w:val="single" w:sz="4" w:space="0" w:color="00000A"/>
            </w:tcBorders>
          </w:tcPr>
          <w:p w14:paraId="0063750F" w14:textId="77777777" w:rsidR="0046124F" w:rsidRDefault="0046124F"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27B81064" w14:textId="77777777" w:rsidR="0046124F" w:rsidRDefault="0046124F" w:rsidP="001B0E15">
            <w:pPr>
              <w:rPr>
                <w:color w:val="000009"/>
                <w:sz w:val="24"/>
              </w:rPr>
            </w:pPr>
            <w:r>
              <w:rPr>
                <w:rFonts w:eastAsia="Times New Roman"/>
                <w:sz w:val="24"/>
                <w:szCs w:val="24"/>
              </w:rPr>
              <w:t>Moksleiviams, studentams, senjorams</w:t>
            </w:r>
          </w:p>
          <w:p w14:paraId="028E67F1" w14:textId="77777777" w:rsidR="0046124F" w:rsidRDefault="0046124F" w:rsidP="00EB7ABF">
            <w:pPr>
              <w:rPr>
                <w:rFonts w:eastAsia="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tcPr>
          <w:p w14:paraId="2C363177" w14:textId="1C324A1B" w:rsidR="0046124F" w:rsidRDefault="0046124F" w:rsidP="00EB7ABF">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tc>
        <w:tc>
          <w:tcPr>
            <w:tcW w:w="1417" w:type="dxa"/>
            <w:tcBorders>
              <w:top w:val="single" w:sz="4" w:space="0" w:color="00000A"/>
              <w:left w:val="single" w:sz="4" w:space="0" w:color="00000A"/>
              <w:bottom w:val="single" w:sz="4" w:space="0" w:color="00000A"/>
              <w:right w:val="single" w:sz="4" w:space="0" w:color="00000A"/>
            </w:tcBorders>
          </w:tcPr>
          <w:p w14:paraId="36146AD3" w14:textId="77777777" w:rsidR="0046124F" w:rsidRDefault="0046124F"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852FAFA" w14:textId="27B9C9D4" w:rsidR="0046124F" w:rsidRDefault="0046124F" w:rsidP="003B68F3">
            <w:pPr>
              <w:pStyle w:val="Standard"/>
              <w:widowControl w:val="0"/>
              <w:jc w:val="center"/>
              <w:rPr>
                <w:szCs w:val="24"/>
              </w:rPr>
            </w:pPr>
            <w:r>
              <w:rPr>
                <w:szCs w:val="24"/>
              </w:rPr>
              <w:t>6</w:t>
            </w:r>
            <w:r w:rsidR="003B68F3">
              <w:rPr>
                <w:szCs w:val="24"/>
              </w:rPr>
              <w:t>,</w:t>
            </w:r>
            <w:r>
              <w:rPr>
                <w:szCs w:val="24"/>
              </w:rPr>
              <w:t>00</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2733491" w14:textId="40D81A27" w:rsidR="0046124F" w:rsidRPr="008E2334" w:rsidRDefault="008E2334" w:rsidP="00EB7ABF">
            <w:pPr>
              <w:pStyle w:val="Standard"/>
              <w:widowControl w:val="0"/>
              <w:rPr>
                <w:color w:val="000000"/>
                <w:szCs w:val="24"/>
              </w:rPr>
            </w:pPr>
            <w:r>
              <w:rPr>
                <w:color w:val="000000"/>
                <w:szCs w:val="24"/>
              </w:rPr>
              <w:t>Nepakitęs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8B48029" w14:textId="77777777" w:rsidR="0046124F" w:rsidRDefault="0046124F"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0FA56470" w14:textId="77777777" w:rsidR="0046124F" w:rsidRPr="004D6425" w:rsidRDefault="0046124F" w:rsidP="00EB7ABF">
            <w:pPr>
              <w:rPr>
                <w:sz w:val="24"/>
                <w:szCs w:val="24"/>
              </w:rPr>
            </w:pPr>
          </w:p>
        </w:tc>
      </w:tr>
      <w:tr w:rsidR="008E2334" w14:paraId="1578ED32" w14:textId="77777777" w:rsidTr="008E2334">
        <w:trPr>
          <w:cantSplit/>
          <w:jc w:val="center"/>
        </w:trPr>
        <w:tc>
          <w:tcPr>
            <w:tcW w:w="705" w:type="dxa"/>
            <w:tcBorders>
              <w:left w:val="single" w:sz="4" w:space="0" w:color="00000A"/>
              <w:right w:val="single" w:sz="4" w:space="0" w:color="00000A"/>
            </w:tcBorders>
          </w:tcPr>
          <w:p w14:paraId="32AD5341" w14:textId="06DAD626" w:rsidR="008E2334" w:rsidRPr="008E2334" w:rsidRDefault="008E2334" w:rsidP="00EB7ABF">
            <w:pPr>
              <w:spacing w:line="252" w:lineRule="auto"/>
              <w:jc w:val="center"/>
              <w:textAlignment w:val="auto"/>
              <w:rPr>
                <w:rFonts w:eastAsia="Times New Roman"/>
                <w:b/>
                <w:bCs/>
                <w:sz w:val="24"/>
                <w:szCs w:val="24"/>
              </w:rPr>
            </w:pPr>
            <w:r w:rsidRPr="008E2334">
              <w:rPr>
                <w:rFonts w:eastAsia="Times New Roman"/>
                <w:b/>
                <w:bCs/>
                <w:sz w:val="24"/>
                <w:szCs w:val="24"/>
              </w:rPr>
              <w:t>1.4.</w:t>
            </w:r>
          </w:p>
        </w:tc>
        <w:tc>
          <w:tcPr>
            <w:tcW w:w="3232" w:type="dxa"/>
            <w:tcBorders>
              <w:top w:val="single" w:sz="4" w:space="0" w:color="00000A"/>
              <w:left w:val="single" w:sz="4" w:space="0" w:color="00000A"/>
              <w:bottom w:val="single" w:sz="4" w:space="0" w:color="00000A"/>
              <w:right w:val="single" w:sz="4" w:space="0" w:color="00000A"/>
            </w:tcBorders>
          </w:tcPr>
          <w:p w14:paraId="3E5FAA72" w14:textId="68B31796" w:rsidR="008E2334" w:rsidRDefault="008E2334" w:rsidP="001B0E15">
            <w:pPr>
              <w:rPr>
                <w:rFonts w:eastAsia="Times New Roman"/>
                <w:sz w:val="24"/>
                <w:szCs w:val="24"/>
              </w:rPr>
            </w:pPr>
            <w:r>
              <w:rPr>
                <w:rFonts w:eastAsia="Times New Roman"/>
                <w:sz w:val="24"/>
                <w:szCs w:val="24"/>
              </w:rPr>
              <w:t>Muziejaus parodos bilietas</w:t>
            </w:r>
          </w:p>
        </w:tc>
        <w:tc>
          <w:tcPr>
            <w:tcW w:w="851" w:type="dxa"/>
            <w:tcBorders>
              <w:top w:val="single" w:sz="4" w:space="0" w:color="00000A"/>
              <w:left w:val="single" w:sz="4" w:space="0" w:color="00000A"/>
              <w:bottom w:val="single" w:sz="4" w:space="0" w:color="00000A"/>
              <w:right w:val="single" w:sz="4" w:space="0" w:color="00000A"/>
            </w:tcBorders>
          </w:tcPr>
          <w:p w14:paraId="771ABC57" w14:textId="77777777" w:rsidR="008E2334" w:rsidRDefault="008E2334" w:rsidP="00EB7ABF">
            <w:pPr>
              <w:jc w:val="center"/>
              <w:textAlignment w:val="auto"/>
              <w:rPr>
                <w:rFonts w:eastAsia="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57B84925" w14:textId="77777777" w:rsidR="008E2334" w:rsidRDefault="008E2334"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3DAEDE0" w14:textId="77777777" w:rsidR="008E2334" w:rsidRDefault="008E2334" w:rsidP="003B68F3">
            <w:pPr>
              <w:pStyle w:val="Standard"/>
              <w:widowControl w:val="0"/>
              <w:jc w:val="center"/>
              <w:rPr>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0E497A0" w14:textId="03F26125" w:rsidR="008E2334" w:rsidRDefault="008E2334" w:rsidP="00EB7ABF">
            <w:pPr>
              <w:pStyle w:val="Standard"/>
              <w:widowControl w:val="0"/>
              <w:rPr>
                <w:color w:val="000000"/>
                <w:szCs w:val="24"/>
              </w:rPr>
            </w:pP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C998229" w14:textId="77777777" w:rsidR="008E2334" w:rsidRDefault="008E2334" w:rsidP="00EB7ABF">
            <w:pPr>
              <w:suppressAutoHyphens w:val="0"/>
              <w:textAlignment w:val="auto"/>
              <w:rPr>
                <w:rFonts w:eastAsia="Times New Roman"/>
                <w:color w:val="000000"/>
                <w:kern w:val="0"/>
                <w:sz w:val="24"/>
                <w:szCs w:val="24"/>
                <w:lang w:eastAsia="lt-LT"/>
              </w:rPr>
            </w:pP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182318BE" w14:textId="77777777" w:rsidR="008E2334" w:rsidRPr="004D6425" w:rsidRDefault="008E2334" w:rsidP="00EB7ABF">
            <w:pPr>
              <w:rPr>
                <w:sz w:val="24"/>
                <w:szCs w:val="24"/>
              </w:rPr>
            </w:pPr>
          </w:p>
        </w:tc>
      </w:tr>
      <w:tr w:rsidR="008E2334" w14:paraId="62EA8E52" w14:textId="77777777" w:rsidTr="008E2334">
        <w:trPr>
          <w:cantSplit/>
          <w:jc w:val="center"/>
        </w:trPr>
        <w:tc>
          <w:tcPr>
            <w:tcW w:w="705" w:type="dxa"/>
            <w:tcBorders>
              <w:left w:val="single" w:sz="4" w:space="0" w:color="00000A"/>
              <w:right w:val="single" w:sz="4" w:space="0" w:color="00000A"/>
            </w:tcBorders>
          </w:tcPr>
          <w:p w14:paraId="5B30452B" w14:textId="77777777" w:rsidR="008E2334" w:rsidRDefault="008E2334"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6AEE72A5" w14:textId="77777777" w:rsidR="008E2334" w:rsidRDefault="008E2334" w:rsidP="008E2334">
            <w:pPr>
              <w:rPr>
                <w:rFonts w:eastAsia="Times New Roman"/>
                <w:sz w:val="24"/>
                <w:szCs w:val="24"/>
              </w:rPr>
            </w:pPr>
            <w:r>
              <w:rPr>
                <w:rFonts w:eastAsia="Times New Roman"/>
                <w:sz w:val="24"/>
                <w:szCs w:val="24"/>
              </w:rPr>
              <w:t>Suaugusiesiems</w:t>
            </w:r>
          </w:p>
          <w:p w14:paraId="65DA70B0" w14:textId="77777777" w:rsidR="008E2334" w:rsidRDefault="008E2334" w:rsidP="001B0E15">
            <w:pPr>
              <w:rPr>
                <w:rFonts w:eastAsia="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tcPr>
          <w:p w14:paraId="082209A0" w14:textId="435D5820" w:rsidR="008E2334" w:rsidRDefault="008E2334" w:rsidP="00EB7ABF">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tc>
        <w:tc>
          <w:tcPr>
            <w:tcW w:w="1417" w:type="dxa"/>
            <w:tcBorders>
              <w:top w:val="single" w:sz="4" w:space="0" w:color="00000A"/>
              <w:left w:val="single" w:sz="4" w:space="0" w:color="00000A"/>
              <w:bottom w:val="single" w:sz="4" w:space="0" w:color="00000A"/>
              <w:right w:val="single" w:sz="4" w:space="0" w:color="00000A"/>
            </w:tcBorders>
          </w:tcPr>
          <w:p w14:paraId="1CD7F201" w14:textId="77777777" w:rsidR="008E2334" w:rsidRDefault="008E2334"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36BD0A7" w14:textId="3DFBDFF6" w:rsidR="008E2334" w:rsidRDefault="008E2334" w:rsidP="003B68F3">
            <w:pPr>
              <w:pStyle w:val="Standard"/>
              <w:widowControl w:val="0"/>
              <w:jc w:val="center"/>
              <w:rPr>
                <w:szCs w:val="24"/>
              </w:rPr>
            </w:pPr>
            <w:r>
              <w:rPr>
                <w:szCs w:val="24"/>
              </w:rPr>
              <w:t>6,00</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A306AA9" w14:textId="04856D76" w:rsidR="008E2334" w:rsidRDefault="008E2334" w:rsidP="00EB7ABF">
            <w:pPr>
              <w:pStyle w:val="Standard"/>
              <w:widowControl w:val="0"/>
              <w:rPr>
                <w:color w:val="000000"/>
                <w:szCs w:val="24"/>
              </w:rPr>
            </w:pPr>
            <w:r>
              <w:rPr>
                <w:color w:val="000000"/>
                <w:szCs w:val="24"/>
              </w:rPr>
              <w:t>Naujas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057F12F" w14:textId="4F9D028C" w:rsidR="008E2334" w:rsidRPr="008E2334" w:rsidRDefault="008E2334" w:rsidP="008E2334">
            <w:pPr>
              <w:widowControl/>
              <w:suppressAutoHyphens w:val="0"/>
              <w:textAlignment w:val="auto"/>
              <w:rPr>
                <w:rFonts w:eastAsia="Calibri"/>
                <w:sz w:val="24"/>
                <w:szCs w:val="24"/>
                <w14:ligatures w14:val="standardContextual"/>
              </w:rPr>
            </w:pPr>
            <w:r w:rsidRPr="008E2334">
              <w:rPr>
                <w:rFonts w:eastAsia="Calibri"/>
                <w:sz w:val="24"/>
                <w:szCs w:val="24"/>
                <w14:ligatures w14:val="standardContextual"/>
              </w:rPr>
              <w:t>Įvedama nauja paslauga, kai Panevėžio kraštotyros muziejaus paroda veikia kitoje institucijoje ir už tą patį bilietą galima lankyti abi įstaigas (muziejaus ekspozicijas Vasario 16-osios g. 23 ir partnerio, kurio patalpose vyksta paroda)</w:t>
            </w:r>
            <w:r>
              <w:rPr>
                <w:rFonts w:eastAsia="Calibri"/>
                <w:sz w:val="24"/>
                <w:szCs w:val="24"/>
                <w14:ligatures w14:val="standardContextual"/>
              </w:rPr>
              <w:t>.</w:t>
            </w:r>
          </w:p>
          <w:p w14:paraId="2E78C6FD" w14:textId="1F501CEB" w:rsidR="008E2334" w:rsidRPr="008E2334" w:rsidRDefault="008E2334" w:rsidP="008E2334">
            <w:pPr>
              <w:suppressAutoHyphens w:val="0"/>
              <w:textAlignment w:val="auto"/>
              <w:rPr>
                <w:rFonts w:eastAsia="Times New Roman"/>
                <w:color w:val="000000"/>
                <w:kern w:val="0"/>
                <w:sz w:val="24"/>
                <w:szCs w:val="24"/>
                <w:lang w:eastAsia="lt-LT"/>
              </w:rPr>
            </w:pPr>
            <w:r w:rsidRPr="008E2334">
              <w:rPr>
                <w:rFonts w:eastAsia="Calibri"/>
                <w:sz w:val="24"/>
                <w:szCs w:val="24"/>
                <w14:ligatures w14:val="standardContextual"/>
              </w:rPr>
              <w:t>Numatome, kad artimiausias ir aktualiausias atvejis bus, kai muziejaus paroda veiks Panevėžio miesto dailės galerijoje (jau treti metai muziejus joje rengia parodas, artimiausia paroda skirta Panevėžio vyskupijos šimtmečiui atidaroma rugsėjo 22 d.), šiuo konkrečiu atveju pajamomis būtų dalijamasi per pusę (savo bilieto PMDG neparduos) ir bilietas suteiktų galimybę lankytojui už vieną bilietą aplankyti dvi įstaigas. PKM bilieto be nuolaidų kaina 4 EUR, PMDG -  5 EUR, bendra suma – 9 EUR, pirkdamas Muziejaus parodos bilietą lankytojas gauna 3 EUR nuolaidą</w:t>
            </w: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6A769978" w14:textId="4FF26B87" w:rsidR="008E2334" w:rsidRPr="008E2334" w:rsidRDefault="008E2334" w:rsidP="00EB7ABF">
            <w:pPr>
              <w:rPr>
                <w:sz w:val="24"/>
                <w:szCs w:val="24"/>
              </w:rPr>
            </w:pPr>
            <w:r w:rsidRPr="008E2334">
              <w:rPr>
                <w:rFonts w:eastAsia="Calibri"/>
                <w:sz w:val="24"/>
                <w:szCs w:val="24"/>
                <w14:ligatures w14:val="standardContextual"/>
              </w:rPr>
              <w:t>Šiaulių „Aušros muziejaus“ padaliniuose bilieto kaina be nuolaidų 5–6 EUR; Klaipėdos Mažosios Lietuvos muziejuje bilieto kaina be nuolaidų 4–6 EUR; Rokiškio krašto muziejuje bilieto kaina be nuolaidų 6–8 EUR; Biržų krašto muziejuje „</w:t>
            </w:r>
            <w:proofErr w:type="spellStart"/>
            <w:r w:rsidRPr="008E2334">
              <w:rPr>
                <w:rFonts w:eastAsia="Calibri"/>
                <w:sz w:val="24"/>
                <w:szCs w:val="24"/>
                <w14:ligatures w14:val="standardContextual"/>
              </w:rPr>
              <w:t>Sėla</w:t>
            </w:r>
            <w:proofErr w:type="spellEnd"/>
            <w:r w:rsidRPr="008E2334">
              <w:rPr>
                <w:rFonts w:eastAsia="Calibri"/>
                <w:sz w:val="24"/>
                <w:szCs w:val="24"/>
                <w14:ligatures w14:val="standardContextual"/>
              </w:rPr>
              <w:t>“ bilieto kaina be nuolaidų 3–5 EUR; Nacionalinio muziejaus Lietuvos Didžiosios Kunigaikštystės valdovų rūmų bilieto kaina be nuolaidų 4–15 EUR; Lietuvos nacionalinio dailės muziejaus bilieto kaina be nuolaidų 6–8 EUR.</w:t>
            </w:r>
          </w:p>
        </w:tc>
      </w:tr>
      <w:tr w:rsidR="008E2334" w14:paraId="05AC00F4" w14:textId="77777777" w:rsidTr="00E12EB2">
        <w:trPr>
          <w:cantSplit/>
          <w:jc w:val="center"/>
        </w:trPr>
        <w:tc>
          <w:tcPr>
            <w:tcW w:w="705" w:type="dxa"/>
            <w:tcBorders>
              <w:left w:val="single" w:sz="4" w:space="0" w:color="00000A"/>
              <w:bottom w:val="single" w:sz="4" w:space="0" w:color="00000A"/>
              <w:right w:val="single" w:sz="4" w:space="0" w:color="00000A"/>
            </w:tcBorders>
          </w:tcPr>
          <w:p w14:paraId="53F6839E" w14:textId="77777777" w:rsidR="008E2334" w:rsidRDefault="008E2334" w:rsidP="00EB7ABF">
            <w:pPr>
              <w:spacing w:line="252" w:lineRule="auto"/>
              <w:jc w:val="center"/>
              <w:textAlignment w:val="auto"/>
              <w:rPr>
                <w:rFonts w:eastAsia="Times New Roman"/>
                <w:sz w:val="24"/>
                <w:szCs w:val="24"/>
              </w:rPr>
            </w:pPr>
          </w:p>
        </w:tc>
        <w:tc>
          <w:tcPr>
            <w:tcW w:w="3232" w:type="dxa"/>
            <w:tcBorders>
              <w:top w:val="single" w:sz="4" w:space="0" w:color="00000A"/>
              <w:left w:val="single" w:sz="4" w:space="0" w:color="00000A"/>
              <w:bottom w:val="single" w:sz="4" w:space="0" w:color="00000A"/>
              <w:right w:val="single" w:sz="4" w:space="0" w:color="00000A"/>
            </w:tcBorders>
          </w:tcPr>
          <w:p w14:paraId="5BCF6648" w14:textId="77777777" w:rsidR="008E2334" w:rsidRDefault="008E2334" w:rsidP="008E2334">
            <w:pPr>
              <w:rPr>
                <w:color w:val="000009"/>
                <w:sz w:val="24"/>
              </w:rPr>
            </w:pPr>
            <w:r>
              <w:rPr>
                <w:rFonts w:eastAsia="Times New Roman"/>
                <w:sz w:val="24"/>
                <w:szCs w:val="24"/>
              </w:rPr>
              <w:t>Moksleiviams, studentams, senjorams</w:t>
            </w:r>
          </w:p>
          <w:p w14:paraId="33242582" w14:textId="77777777" w:rsidR="008E2334" w:rsidRDefault="008E2334" w:rsidP="001B0E15">
            <w:pPr>
              <w:rPr>
                <w:rFonts w:eastAsia="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tcPr>
          <w:p w14:paraId="0CBFAF4A" w14:textId="531BA864" w:rsidR="008E2334" w:rsidRDefault="008E2334" w:rsidP="00EB7ABF">
            <w:pPr>
              <w:jc w:val="center"/>
              <w:textAlignment w:val="auto"/>
              <w:rPr>
                <w:rFonts w:eastAsia="Times New Roman"/>
                <w:sz w:val="24"/>
                <w:szCs w:val="24"/>
              </w:rPr>
            </w:pPr>
            <w:r>
              <w:rPr>
                <w:rFonts w:eastAsia="Times New Roman"/>
                <w:sz w:val="24"/>
                <w:szCs w:val="24"/>
              </w:rPr>
              <w:t xml:space="preserve">1 </w:t>
            </w:r>
            <w:proofErr w:type="spellStart"/>
            <w:r>
              <w:rPr>
                <w:rFonts w:eastAsia="Times New Roman"/>
                <w:sz w:val="24"/>
                <w:szCs w:val="24"/>
              </w:rPr>
              <w:t>asm</w:t>
            </w:r>
            <w:proofErr w:type="spellEnd"/>
            <w:r>
              <w:rPr>
                <w:rFonts w:eastAsia="Times New Roman"/>
                <w:sz w:val="24"/>
                <w:szCs w:val="24"/>
              </w:rPr>
              <w:t>.</w:t>
            </w:r>
          </w:p>
        </w:tc>
        <w:tc>
          <w:tcPr>
            <w:tcW w:w="1417" w:type="dxa"/>
            <w:tcBorders>
              <w:top w:val="single" w:sz="4" w:space="0" w:color="00000A"/>
              <w:left w:val="single" w:sz="4" w:space="0" w:color="00000A"/>
              <w:bottom w:val="single" w:sz="4" w:space="0" w:color="00000A"/>
              <w:right w:val="single" w:sz="4" w:space="0" w:color="00000A"/>
            </w:tcBorders>
          </w:tcPr>
          <w:p w14:paraId="30B4732A" w14:textId="77777777" w:rsidR="008E2334" w:rsidRDefault="008E2334" w:rsidP="00EB7ABF">
            <w:pPr>
              <w:jc w:val="center"/>
              <w:textAlignment w:val="auto"/>
              <w:rPr>
                <w:rFonts w:eastAsia="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5B2DE76" w14:textId="10B13DC8" w:rsidR="008E2334" w:rsidRDefault="008E2334" w:rsidP="003B68F3">
            <w:pPr>
              <w:pStyle w:val="Standard"/>
              <w:widowControl w:val="0"/>
              <w:jc w:val="center"/>
              <w:rPr>
                <w:szCs w:val="24"/>
              </w:rPr>
            </w:pPr>
            <w:r>
              <w:rPr>
                <w:szCs w:val="24"/>
              </w:rPr>
              <w:t>4,00</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A0D244B" w14:textId="0176B4C1" w:rsidR="008E2334" w:rsidRDefault="008E2334" w:rsidP="00EB7ABF">
            <w:pPr>
              <w:pStyle w:val="Standard"/>
              <w:widowControl w:val="0"/>
              <w:rPr>
                <w:color w:val="000000"/>
                <w:szCs w:val="24"/>
              </w:rPr>
            </w:pPr>
            <w:r>
              <w:rPr>
                <w:color w:val="000000"/>
                <w:szCs w:val="24"/>
              </w:rPr>
              <w:t>Naujas tarifas</w:t>
            </w:r>
          </w:p>
        </w:tc>
        <w:tc>
          <w:tcPr>
            <w:tcW w:w="2980"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5361967" w14:textId="78FCAD5C" w:rsidR="008E2334" w:rsidRPr="008E2334" w:rsidRDefault="008E2334" w:rsidP="00EB7ABF">
            <w:pPr>
              <w:suppressAutoHyphens w:val="0"/>
              <w:textAlignment w:val="auto"/>
              <w:rPr>
                <w:rFonts w:eastAsia="Times New Roman"/>
                <w:color w:val="000000"/>
                <w:kern w:val="0"/>
                <w:sz w:val="24"/>
                <w:szCs w:val="24"/>
                <w:lang w:eastAsia="lt-LT"/>
              </w:rPr>
            </w:pPr>
            <w:r w:rsidRPr="008E2334">
              <w:rPr>
                <w:rFonts w:eastAsia="Calibri"/>
                <w:sz w:val="24"/>
                <w:szCs w:val="24"/>
                <w14:ligatures w14:val="standardContextual"/>
              </w:rPr>
              <w:t>―‖―</w:t>
            </w:r>
          </w:p>
        </w:tc>
        <w:tc>
          <w:tcPr>
            <w:tcW w:w="36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77795B2F" w14:textId="79AAAE06" w:rsidR="008E2334" w:rsidRPr="008E2334" w:rsidRDefault="008E2334" w:rsidP="00EB7ABF">
            <w:pPr>
              <w:rPr>
                <w:sz w:val="24"/>
                <w:szCs w:val="24"/>
              </w:rPr>
            </w:pPr>
            <w:r w:rsidRPr="008E2334">
              <w:rPr>
                <w:rFonts w:eastAsia="Calibri"/>
                <w:sz w:val="24"/>
                <w:szCs w:val="24"/>
                <w14:ligatures w14:val="standardContextual"/>
              </w:rPr>
              <w:t>―‖―</w:t>
            </w:r>
          </w:p>
        </w:tc>
      </w:tr>
    </w:tbl>
    <w:p w14:paraId="7F659110" w14:textId="77777777" w:rsidR="00AD2856" w:rsidRDefault="007D6211">
      <w:pPr>
        <w:pStyle w:val="Standard"/>
        <w:jc w:val="center"/>
        <w:rPr>
          <w:b/>
          <w:color w:val="000000"/>
          <w:lang w:eastAsia="en-US"/>
        </w:rPr>
      </w:pPr>
      <w:r>
        <w:rPr>
          <w:b/>
          <w:color w:val="000000"/>
          <w:lang w:eastAsia="en-US"/>
        </w:rPr>
        <w:t>______________</w:t>
      </w:r>
    </w:p>
    <w:sectPr w:rsidR="00AD2856">
      <w:pgSz w:w="16838" w:h="11906" w:orient="landscape"/>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56"/>
    <w:rsid w:val="0001203A"/>
    <w:rsid w:val="000C708B"/>
    <w:rsid w:val="001339A8"/>
    <w:rsid w:val="00182F58"/>
    <w:rsid w:val="001A1C78"/>
    <w:rsid w:val="001B0E15"/>
    <w:rsid w:val="001D5376"/>
    <w:rsid w:val="002201A7"/>
    <w:rsid w:val="002C6CDC"/>
    <w:rsid w:val="0037500F"/>
    <w:rsid w:val="003B68F3"/>
    <w:rsid w:val="0046124F"/>
    <w:rsid w:val="004D6425"/>
    <w:rsid w:val="005E3B14"/>
    <w:rsid w:val="00691B7D"/>
    <w:rsid w:val="00754DEC"/>
    <w:rsid w:val="00773984"/>
    <w:rsid w:val="007D6211"/>
    <w:rsid w:val="008101BF"/>
    <w:rsid w:val="0082611F"/>
    <w:rsid w:val="008E2334"/>
    <w:rsid w:val="00994266"/>
    <w:rsid w:val="009E1AE7"/>
    <w:rsid w:val="00AA6610"/>
    <w:rsid w:val="00AD2856"/>
    <w:rsid w:val="00CB1EC6"/>
    <w:rsid w:val="00D31F4B"/>
    <w:rsid w:val="00E52BBC"/>
    <w:rsid w:val="00E865D4"/>
    <w:rsid w:val="00EB7ABF"/>
    <w:rsid w:val="00F77D9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A90F"/>
  <w15:docId w15:val="{ECC56CB1-7ED9-48CB-ABCA-5F9E971A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334"/>
    <w:pPr>
      <w:widowControl w:val="0"/>
      <w:textAlignment w:val="baseline"/>
    </w:pPr>
    <w:rPr>
      <w:rFonts w:eastAsia="SimSun" w:cs="Times New Roman"/>
      <w:kern w:val="2"/>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antratDiagrama">
    <w:name w:val="Paantraštė Diagrama"/>
    <w:basedOn w:val="Numatytasispastraiposriftas"/>
    <w:link w:val="Paantrat"/>
    <w:qFormat/>
    <w:rsid w:val="00321EA8"/>
    <w:rPr>
      <w:rFonts w:ascii="Arial" w:eastAsia="Microsoft YaHei" w:hAnsi="Arial" w:cs="Arial"/>
      <w:i/>
      <w:iCs/>
      <w:kern w:val="2"/>
      <w:sz w:val="28"/>
      <w:szCs w:val="28"/>
      <w:lang w:eastAsia="lt-LT"/>
    </w:rPr>
  </w:style>
  <w:style w:type="character" w:customStyle="1" w:styleId="DebesliotekstasDiagrama">
    <w:name w:val="Debesėlio tekstas Diagrama"/>
    <w:basedOn w:val="Numatytasispastraiposriftas"/>
    <w:link w:val="Debesliotekstas"/>
    <w:uiPriority w:val="99"/>
    <w:semiHidden/>
    <w:qFormat/>
    <w:rsid w:val="009473CA"/>
    <w:rPr>
      <w:rFonts w:ascii="Segoe UI" w:eastAsia="SimSun" w:hAnsi="Segoe UI" w:cs="Segoe UI"/>
      <w:kern w:val="2"/>
      <w:sz w:val="18"/>
      <w:szCs w:val="18"/>
    </w:rPr>
  </w:style>
  <w:style w:type="character" w:customStyle="1" w:styleId="Internetosaitas">
    <w:name w:val="Interneto saitas"/>
    <w:basedOn w:val="Numatytasispastraiposriftas"/>
    <w:uiPriority w:val="99"/>
    <w:unhideWhenUsed/>
    <w:rsid w:val="000A068F"/>
    <w:rPr>
      <w:color w:val="0563C1" w:themeColor="hyperlink"/>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Standard">
    <w:name w:val="Standard"/>
    <w:qFormat/>
    <w:rsid w:val="0003539C"/>
    <w:pPr>
      <w:textAlignment w:val="baseline"/>
    </w:pPr>
    <w:rPr>
      <w:rFonts w:eastAsia="Times New Roman" w:cs="Times New Roman"/>
      <w:kern w:val="2"/>
      <w:szCs w:val="20"/>
      <w:lang w:eastAsia="lt-LT"/>
    </w:rPr>
  </w:style>
  <w:style w:type="paragraph" w:customStyle="1" w:styleId="Textbody">
    <w:name w:val="Text body"/>
    <w:basedOn w:val="Standard"/>
    <w:qFormat/>
    <w:rsid w:val="00321EA8"/>
    <w:pPr>
      <w:spacing w:after="120"/>
    </w:pPr>
  </w:style>
  <w:style w:type="paragraph" w:styleId="Paantrat">
    <w:name w:val="Subtitle"/>
    <w:basedOn w:val="prastasis"/>
    <w:next w:val="Textbody"/>
    <w:link w:val="PaantratDiagrama"/>
    <w:qFormat/>
    <w:rsid w:val="00321EA8"/>
    <w:pPr>
      <w:keepNext/>
      <w:widowControl/>
      <w:spacing w:before="240" w:after="120"/>
      <w:jc w:val="center"/>
    </w:pPr>
    <w:rPr>
      <w:rFonts w:ascii="Arial" w:eastAsia="Microsoft YaHei" w:hAnsi="Arial" w:cs="Arial"/>
      <w:i/>
      <w:iCs/>
      <w:sz w:val="28"/>
      <w:szCs w:val="28"/>
      <w:lang w:eastAsia="lt-LT"/>
    </w:rPr>
  </w:style>
  <w:style w:type="paragraph" w:styleId="Debesliotekstas">
    <w:name w:val="Balloon Text"/>
    <w:basedOn w:val="prastasis"/>
    <w:link w:val="DebesliotekstasDiagrama"/>
    <w:uiPriority w:val="99"/>
    <w:semiHidden/>
    <w:unhideWhenUsed/>
    <w:qFormat/>
    <w:rsid w:val="009473CA"/>
    <w:rPr>
      <w:rFonts w:ascii="Segoe UI" w:hAnsi="Segoe UI" w:cs="Segoe UI"/>
      <w:sz w:val="18"/>
      <w:szCs w:val="18"/>
    </w:rPr>
  </w:style>
  <w:style w:type="paragraph" w:styleId="Sraopastraipa">
    <w:name w:val="List Paragraph"/>
    <w:basedOn w:val="prastasis"/>
    <w:uiPriority w:val="34"/>
    <w:qFormat/>
    <w:rsid w:val="00487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1932</Words>
  <Characters>1102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Aleknienė</dc:creator>
  <dc:description/>
  <cp:lastModifiedBy>Diana Brazdžiunienė</cp:lastModifiedBy>
  <cp:revision>2</cp:revision>
  <cp:lastPrinted>2020-10-07T06:18:00Z</cp:lastPrinted>
  <dcterms:created xsi:type="dcterms:W3CDTF">2026-07-09T13:28:00Z</dcterms:created>
  <dcterms:modified xsi:type="dcterms:W3CDTF">2026-07-09T13:28:00Z</dcterms:modified>
  <dc:language>lt-LT</dc:language>
</cp:coreProperties>
</file>